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rPr>
      </w:pPr>
      <w:r>
        <w:rPr>
          <w:b/>
        </w:rPr>
        <w:t xml:space="preserve">ДОГОВОР № </w:t>
      </w:r>
    </w:p>
    <w:p>
      <w:pPr>
        <w:pStyle w:val="Normal"/>
        <w:tabs>
          <w:tab w:val="clear" w:pos="708"/>
          <w:tab w:val="left" w:pos="2880" w:leader="none"/>
        </w:tabs>
        <w:jc w:val="center"/>
        <w:rPr/>
      </w:pPr>
      <w:r>
        <w:rPr>
          <w:b/>
        </w:rPr>
        <w:t>об оказании услуг экстренного выезда группы задержания к подвижным транспортным средствам,  с применением программно-аппаратного комплекса взаимодействия подразделений вневедомственной охраны с мониторинговыми компаниями (ПАК ВсМК)</w:t>
      </w:r>
    </w:p>
    <w:p>
      <w:pPr>
        <w:pStyle w:val="Normal"/>
        <w:jc w:val="center"/>
        <w:rPr>
          <w:b/>
          <w:b/>
        </w:rPr>
      </w:pPr>
      <w:r>
        <w:rPr>
          <w:b/>
        </w:rPr>
      </w:r>
    </w:p>
    <w:p>
      <w:pPr>
        <w:pStyle w:val="Normal"/>
        <w:rPr/>
      </w:pPr>
      <w:r>
        <w:rPr>
          <w:color w:val="000000"/>
        </w:rPr>
        <w:t xml:space="preserve">г. Петропавловск-Камчатский                                                                «____» ____________г.                                                                                                              </w:t>
      </w:r>
    </w:p>
    <w:p>
      <w:pPr>
        <w:pStyle w:val="Normal"/>
        <w:ind w:left="0" w:right="0" w:firstLine="709"/>
        <w:jc w:val="both"/>
        <w:rPr/>
      </w:pPr>
      <w:r>
        <w:rPr/>
      </w:r>
    </w:p>
    <w:p>
      <w:pPr>
        <w:pStyle w:val="Normal"/>
        <w:ind w:left="0" w:right="0" w:firstLine="709"/>
        <w:jc w:val="both"/>
        <w:rPr/>
      </w:pPr>
      <w:r>
        <w:rPr/>
        <w:t>Федеральное государственное казенное учреждение «Отдел вневедомственной охраны войск национальной гвардии Российской Федерации по Камчатскому краю», именуемое в дальнейшем «Исполнитель», в лице начальника Отдела вневедомственной охраны по городу Петропавловску-Камчатскому - филиала федерального государственного казенного учреждения  «Отдел вневедомственной охраны  войск национальной гвардии Российской Федерации по Камчатскому краю» Воронин</w:t>
      </w:r>
      <w:r>
        <w:rPr>
          <w:rFonts w:eastAsia="Tahoma" w:cs="Noto Sans Devanagari"/>
          <w:color w:val="000000"/>
          <w:spacing w:val="0"/>
          <w:kern w:val="0"/>
          <w:sz w:val="24"/>
          <w:szCs w:val="20"/>
          <w:lang w:val="ru-RU" w:eastAsia="zh-CN" w:bidi="hi-IN"/>
        </w:rPr>
        <w:t>а</w:t>
      </w:r>
      <w:r>
        <w:rPr/>
        <w:t xml:space="preserve"> Ярослава Константиновича, действующего на основании Положения и доверенности от 9 января  2024 г.  № </w:t>
      </w:r>
      <w:r>
        <w:rPr>
          <w:color w:val="000000"/>
          <w:sz w:val="24"/>
        </w:rPr>
        <w:t>1</w:t>
      </w:r>
      <w:r>
        <w:rPr/>
        <w:t>, с одной стороны, и ___________________________________</w:t>
      </w:r>
      <w:r>
        <w:rPr>
          <w:sz w:val="26"/>
        </w:rPr>
        <w:t xml:space="preserve"> именуемое в дальнейшем «Заказчик», в лице генерального директора ___________________</w:t>
      </w:r>
      <w:r>
        <w:rPr/>
        <w:t>, действующе</w:t>
      </w:r>
      <w:r>
        <w:rPr>
          <w:rFonts w:eastAsia="Tahoma" w:cs="Noto Sans Devanagari"/>
          <w:color w:val="000000"/>
          <w:spacing w:val="0"/>
          <w:kern w:val="0"/>
          <w:sz w:val="24"/>
          <w:szCs w:val="20"/>
          <w:lang w:val="ru-RU" w:eastAsia="zh-CN" w:bidi="hi-IN"/>
        </w:rPr>
        <w:t>го</w:t>
      </w:r>
      <w:r>
        <w:rPr/>
        <w:t xml:space="preserve"> на основании Устава, с другой стороны, вместе именуемые Стороны, заключили настоящий Договор о нижеследующем:</w:t>
      </w:r>
    </w:p>
    <w:p>
      <w:pPr>
        <w:pStyle w:val="Normal"/>
        <w:ind w:left="0" w:right="0" w:firstLine="709"/>
        <w:jc w:val="center"/>
        <w:rPr>
          <w:b/>
          <w:b/>
        </w:rPr>
      </w:pPr>
      <w:r>
        <w:rPr>
          <w:b/>
        </w:rPr>
      </w:r>
    </w:p>
    <w:p>
      <w:pPr>
        <w:pStyle w:val="ListParagraph1"/>
        <w:numPr>
          <w:ilvl w:val="0"/>
          <w:numId w:val="1"/>
        </w:numPr>
        <w:jc w:val="center"/>
        <w:rPr>
          <w:b/>
          <w:b/>
        </w:rPr>
      </w:pPr>
      <w:r>
        <w:rPr>
          <w:b/>
        </w:rPr>
        <w:t>Предмет Договора</w:t>
      </w:r>
    </w:p>
    <w:p>
      <w:pPr>
        <w:pStyle w:val="ListParagraph1"/>
        <w:rPr>
          <w:b/>
          <w:b/>
        </w:rPr>
      </w:pPr>
      <w:r>
        <w:rPr>
          <w:b/>
        </w:rPr>
      </w:r>
    </w:p>
    <w:p>
      <w:pPr>
        <w:pStyle w:val="Normal"/>
        <w:ind w:left="0" w:right="0" w:firstLine="709"/>
        <w:jc w:val="both"/>
        <w:rPr/>
      </w:pPr>
      <w:r>
        <w:rPr/>
        <w:t>1.1. «Исполнитель» по настоящему Договору оказывает «Заказчику» услуги экстренного выезда группы задержания, которые включают в себя:</w:t>
      </w:r>
    </w:p>
    <w:p>
      <w:pPr>
        <w:pStyle w:val="Normal"/>
        <w:ind w:left="0" w:right="0" w:firstLine="709"/>
        <w:jc w:val="both"/>
        <w:rPr/>
      </w:pPr>
      <w:r>
        <w:rPr/>
        <w:t>1.1.1. централизованное круглосуточное наблюдение за поступлением сигнала «тревога» с применением программно-аппаратного комплекса взаимодействия подразделений вневедомственной охраны с мониторинговыми компаниями (далее - ПАК ВсМК), установленного  на пульте централизованного наблюдения (далее – «ПЦН») «Исполнителя»;</w:t>
      </w:r>
    </w:p>
    <w:p>
      <w:pPr>
        <w:pStyle w:val="Normal"/>
        <w:ind w:left="0" w:right="0" w:firstLine="709"/>
        <w:jc w:val="both"/>
        <w:rPr/>
      </w:pPr>
      <w:r>
        <w:rPr/>
        <w:t>1.1.2. экстренный выезд группы задержания к подвижным транспортным средствам «Заказчика», указанные в приложении № 1 к настоящему Договору, при поступлении на ПЦН сигнала «тревога» для принятия мер к задержанию лиц, создающих угрозу личной безопасности находящихся в транспортном средстве «Заказчика» лиц  и (или) угрозу хищения, повреждения, уничтожения имущества «Заказчика», в границах города Петропавловска-Камчатского.</w:t>
      </w:r>
    </w:p>
    <w:p>
      <w:pPr>
        <w:pStyle w:val="Normal"/>
        <w:ind w:left="0" w:right="0" w:firstLine="709"/>
        <w:jc w:val="both"/>
        <w:rPr/>
      </w:pPr>
      <w:r>
        <w:rPr/>
        <w:t>1.2. Сигнал «тревога» - исходящее сообщение, сформированное с помощью устройства сигнализации (далее — тревожная кнопка) «Заказчика», установленного в транспортных средствах</w:t>
      </w:r>
      <w:r>
        <w:rPr>
          <w:b/>
        </w:rPr>
        <w:t xml:space="preserve"> «</w:t>
      </w:r>
      <w:r>
        <w:rPr/>
        <w:t xml:space="preserve">Заказчика». </w:t>
      </w:r>
    </w:p>
    <w:p>
      <w:pPr>
        <w:pStyle w:val="Normal"/>
        <w:ind w:left="0" w:right="0" w:firstLine="709"/>
        <w:jc w:val="both"/>
        <w:rPr/>
      </w:pPr>
      <w:r>
        <w:rPr/>
        <w:t>1.3.</w:t>
        <w:tab/>
        <w:t>Наименование объектов «Заказчика», на которых «Исполнитель» осуществляет мониторинг за средствами тревожной сигнализации, указывается в Перечне объектов, находящихся под централизованным наблюдением (Приложение № 1), который являются неотъемлемой частью настоящего договора.</w:t>
      </w:r>
    </w:p>
    <w:p>
      <w:pPr>
        <w:pStyle w:val="Normal"/>
        <w:ind w:left="0" w:right="0" w:firstLine="709"/>
        <w:jc w:val="both"/>
        <w:rPr/>
      </w:pPr>
      <w:r>
        <w:rPr/>
        <w:t>1.4.</w:t>
        <w:tab/>
        <w:t>«Заказчик» обязуется своевременно производить оплату за услуги, оказанные «Исполнителем».</w:t>
      </w:r>
    </w:p>
    <w:p>
      <w:pPr>
        <w:pStyle w:val="Style23"/>
        <w:ind w:left="0" w:right="0" w:firstLine="709"/>
        <w:rPr>
          <w:rFonts w:ascii="Times New Roman" w:hAnsi="Times New Roman"/>
        </w:rPr>
      </w:pPr>
      <w:r>
        <w:rPr>
          <w:rFonts w:ascii="Times New Roman" w:hAnsi="Times New Roman"/>
        </w:rPr>
      </w:r>
    </w:p>
    <w:p>
      <w:pPr>
        <w:pStyle w:val="ListParagraph1"/>
        <w:numPr>
          <w:ilvl w:val="0"/>
          <w:numId w:val="1"/>
        </w:numPr>
        <w:jc w:val="center"/>
        <w:rPr>
          <w:b/>
          <w:b/>
        </w:rPr>
      </w:pPr>
      <w:r>
        <w:rPr>
          <w:b/>
        </w:rPr>
        <w:t>Общие положения</w:t>
      </w:r>
    </w:p>
    <w:p>
      <w:pPr>
        <w:pStyle w:val="ListParagraph1"/>
        <w:rPr/>
      </w:pPr>
      <w:r>
        <w:rPr/>
      </w:r>
    </w:p>
    <w:p>
      <w:pPr>
        <w:pStyle w:val="Normal"/>
        <w:jc w:val="both"/>
        <w:rPr/>
      </w:pPr>
      <w:r>
        <w:rPr/>
        <w:t xml:space="preserve">      </w:t>
      </w:r>
      <w:r>
        <w:rPr/>
        <w:t>2.1.</w:t>
        <w:tab/>
        <w:t>Мониторинг за средствами тревожной сигнализации на подвижных транспортных средствах с помощью ПЦН заключается в централизованном наблюдении за каналом передачи тревожного извещения с момента приема объекта на ПЦН до его снятия с ПЦН. Количество, виды средств тревожной сигнализации, установленных на подвижных транспортных средствах «Заказчика», указывается в  перечне объектов, находящихся под централизованным наблюдением (Приложение № 1). Время осуществления централизованного наблюдения определяются «Заказчиком».</w:t>
      </w:r>
    </w:p>
    <w:p>
      <w:pPr>
        <w:pStyle w:val="Normal"/>
        <w:jc w:val="both"/>
        <w:rPr/>
      </w:pPr>
      <w:r>
        <w:rPr/>
        <w:t xml:space="preserve">   </w:t>
      </w:r>
      <w:r>
        <w:rPr/>
        <w:t>2.1.1. Централизованное наблюдение (тревожная сигнализация) на подвижных транспортных средствах не является способом (средством) охраны имущества «Заказчика», находящегося на объекте, от противоправных посягательств, а служит для экстренного вызова на объект группы задержания для принятия мер к установлению и задержанию лиц, осуществляющих противоправные посягательства в отношении работников и имущества «Заказчика».</w:t>
      </w:r>
    </w:p>
    <w:p>
      <w:pPr>
        <w:pStyle w:val="Normal"/>
        <w:jc w:val="both"/>
        <w:rPr/>
      </w:pPr>
      <w:r>
        <w:rPr/>
        <w:t xml:space="preserve">         </w:t>
      </w:r>
      <w:r>
        <w:rPr/>
        <w:t>2.2.</w:t>
        <w:tab/>
        <w:t>Технические средства охраны (аппаратура тревожной сигнализации), устанавливаемые на подвижных транспортных средствах «Заказчика», приобретаются «Заказчиком» самостоятельно по согласованию с «Исполнителем».</w:t>
      </w:r>
    </w:p>
    <w:p>
      <w:pPr>
        <w:pStyle w:val="Normal"/>
        <w:jc w:val="both"/>
        <w:rPr/>
      </w:pPr>
      <w:r>
        <w:rPr/>
        <w:t xml:space="preserve">    </w:t>
      </w:r>
      <w:r>
        <w:rPr/>
        <w:t>2.3. В акте обследования оборудования в подвижных транспортных средствах инженерно-техническими средствами охраны указывается наличие, наименование, количество и состояние средств тревожной сигнализации, установленных на объекте. Акт подписывается «Заказчиком» и «Исполнителем».</w:t>
      </w:r>
    </w:p>
    <w:p>
      <w:pPr>
        <w:pStyle w:val="Normal"/>
        <w:jc w:val="both"/>
        <w:rPr/>
      </w:pPr>
      <w:r>
        <w:rPr/>
        <w:t xml:space="preserve">        </w:t>
      </w:r>
      <w:r>
        <w:rPr/>
        <w:t>2.4.</w:t>
        <w:tab/>
        <w:t>Передача «Исполнителю» объекта под централизованное наблюдение, а также прием его из-под централизованного наблюдения производится «Заказчиком» согласно Инструкции о порядке пользования средствами тревожной сигнализации.</w:t>
      </w:r>
    </w:p>
    <w:p>
      <w:pPr>
        <w:pStyle w:val="Normal"/>
        <w:jc w:val="both"/>
        <w:rPr/>
      </w:pPr>
      <w:r>
        <w:rPr/>
        <w:t xml:space="preserve">       </w:t>
      </w:r>
      <w:r>
        <w:rPr/>
        <w:t>2.5.</w:t>
        <w:tab/>
        <w:t>Пользование тревожной сигнализацией разрешено только работникам «Заказчика». Лица, ответственные за пользование тревожной сигнализацией, назначаются «Заказчиком».</w:t>
      </w:r>
    </w:p>
    <w:p>
      <w:pPr>
        <w:pStyle w:val="Normal"/>
        <w:jc w:val="both"/>
        <w:rPr/>
      </w:pPr>
      <w:r>
        <w:rPr/>
        <w:t xml:space="preserve">       </w:t>
      </w:r>
      <w:r>
        <w:rPr/>
        <w:t>2.6. «Исполнитель» приступает к исполнению своих обязательств по настоящему договору, после оборудования подвижных транспортных средств тревожной сигнализацией и контрольной проверки работоспособности аппаратуры тревожной сигнализации, что закрепляется актом приема технических средств охраны в эксплуатацию.</w:t>
      </w:r>
    </w:p>
    <w:p>
      <w:pPr>
        <w:pStyle w:val="Normal"/>
        <w:jc w:val="both"/>
        <w:rPr/>
      </w:pPr>
      <w:r>
        <w:rPr/>
      </w:r>
    </w:p>
    <w:p>
      <w:pPr>
        <w:pStyle w:val="ListParagraph1"/>
        <w:numPr>
          <w:ilvl w:val="0"/>
          <w:numId w:val="1"/>
        </w:numPr>
        <w:jc w:val="center"/>
        <w:rPr>
          <w:b/>
          <w:b/>
        </w:rPr>
      </w:pPr>
      <w:r>
        <w:rPr>
          <w:b/>
        </w:rPr>
        <w:t>Обязанности «Исполнителя»</w:t>
      </w:r>
    </w:p>
    <w:p>
      <w:pPr>
        <w:pStyle w:val="ListParagraph1"/>
        <w:rPr/>
      </w:pPr>
      <w:r>
        <w:rPr/>
      </w:r>
    </w:p>
    <w:p>
      <w:pPr>
        <w:pStyle w:val="Normal"/>
        <w:jc w:val="both"/>
        <w:rPr/>
      </w:pPr>
      <w:r>
        <w:rPr/>
        <w:t xml:space="preserve">        </w:t>
      </w:r>
      <w:r>
        <w:rPr/>
        <w:t>3.1.</w:t>
        <w:tab/>
        <w:t>Осуществлять мониторинг за средствами тревожной сигнализации на подвижных транспортных средствах «Заказчика» в дни и часы, согласованные с «Заказчиком», находящихся под централизованным наблюдением.</w:t>
      </w:r>
    </w:p>
    <w:p>
      <w:pPr>
        <w:pStyle w:val="Normal"/>
        <w:jc w:val="both"/>
        <w:rPr/>
      </w:pPr>
      <w:r>
        <w:rPr/>
        <w:t xml:space="preserve">             </w:t>
      </w:r>
      <w:r>
        <w:rPr/>
        <w:t>3.2.</w:t>
        <w:tab/>
        <w:t>При поступлении на ПЦН сигнала «Тревога» с подвижного транспортного средства в период времени, когда объект находится под централизованным наблюдением, направлять в установленном порядке наряд войск национальной гвардии для выяснения причины срабатывания тревожной сигнализации (отработки сигнала «Тревога»), а при необходимости принимать меры к пресечению противоправных действий и задержанию лиц их совершающих. Наряд войск национальной гвардии прибывает к месту нахождения подвижного транспортного средства в возможно кратчайший срок с момента поступления на ПЦН сигнала о срабатывании средств тревожной сигнализации.</w:t>
      </w:r>
    </w:p>
    <w:p>
      <w:pPr>
        <w:pStyle w:val="Normal"/>
        <w:jc w:val="both"/>
        <w:rPr/>
      </w:pPr>
      <w:r>
        <w:rPr/>
        <w:t xml:space="preserve">       </w:t>
      </w:r>
      <w:r>
        <w:rPr/>
        <w:t>3.2.1. Факты и время поступления на ПЦН сигнала «Тревога», прибытия наряда войск национальной гвардии к месту нахождения подвижного транспортного средства фиксируются на магнитном носителе ПЦН и (или) в контрольных листах ПЦН. Сведения о поступлении на ПЦН сигнала «Тревога», прибытии наряда войск национальной гвардии, отраженные в протоколе ПЦН и (или) контрольных листах ПЦН, являются достаточным доказательством, подтверждающим его принятие и отработку «Исполнителем».</w:t>
      </w:r>
    </w:p>
    <w:p>
      <w:pPr>
        <w:pStyle w:val="Normal"/>
        <w:jc w:val="both"/>
        <w:rPr/>
      </w:pPr>
      <w:r>
        <w:rPr/>
        <w:t xml:space="preserve">         </w:t>
      </w:r>
      <w:r>
        <w:rPr/>
        <w:t>3.3.</w:t>
        <w:tab/>
        <w:t>Обучить представителей «Заказчика», указанных в Списке лиц, ответственных за пользование тревожной сигнализацией, правилам пользования тревожной сигнализацией в соответствии с Инструкцией о порядке пользования средствами тревожной сигнализации.</w:t>
      </w:r>
    </w:p>
    <w:p>
      <w:pPr>
        <w:pStyle w:val="Normal"/>
        <w:jc w:val="both"/>
        <w:rPr/>
      </w:pPr>
      <w:r>
        <w:rPr/>
        <w:t xml:space="preserve">         </w:t>
      </w:r>
      <w:r>
        <w:rPr/>
        <w:t>3.4.</w:t>
        <w:tab/>
        <w:t>В случаях отсутствия электропитания на средствах тревожной сигнализации, отсутствия сигнала в зоне покрытия, обслуживаемой сетью GSM, блокировки сигнала, что приведет к потере каналов связи тревожной сигнализации с ПЦН,  пожара, выхода из строя средств тревожной сигнализации при невозможности оперативного восстановления их работоспособности, а также при наступлении форс-мажорных обстоятельств, когда «Исполнитель» не может выполнить обязанности, принятые на себя по настоящему договору, обеспечение безопасности сотрудников выездной бригады осуществляется «Заказчиком» самостоятельно.</w:t>
      </w:r>
    </w:p>
    <w:p>
      <w:pPr>
        <w:pStyle w:val="Normal"/>
        <w:jc w:val="both"/>
        <w:rPr/>
      </w:pPr>
      <w:r>
        <w:rPr/>
        <w:t xml:space="preserve">          </w:t>
      </w:r>
    </w:p>
    <w:p>
      <w:pPr>
        <w:pStyle w:val="ListParagraph1"/>
        <w:numPr>
          <w:ilvl w:val="0"/>
          <w:numId w:val="1"/>
        </w:numPr>
        <w:jc w:val="center"/>
        <w:rPr>
          <w:b/>
          <w:b/>
        </w:rPr>
      </w:pPr>
      <w:r>
        <w:rPr>
          <w:b/>
        </w:rPr>
        <w:t>Обязанности «Заказчика»</w:t>
      </w:r>
    </w:p>
    <w:p>
      <w:pPr>
        <w:pStyle w:val="ListParagraph1"/>
        <w:rPr/>
      </w:pPr>
      <w:r>
        <w:rPr/>
      </w:r>
    </w:p>
    <w:p>
      <w:pPr>
        <w:pStyle w:val="Normal"/>
        <w:ind w:left="0" w:right="0" w:firstLine="567"/>
        <w:jc w:val="both"/>
        <w:rPr/>
      </w:pPr>
      <w:r>
        <w:rPr/>
        <w:t>4.1.</w:t>
        <w:tab/>
        <w:t>Содействовать «Исполнителю» при исполнении ими своих обязанностей.</w:t>
      </w:r>
    </w:p>
    <w:p>
      <w:pPr>
        <w:pStyle w:val="Normal"/>
        <w:ind w:left="0" w:right="0" w:firstLine="567"/>
        <w:jc w:val="both"/>
        <w:rPr/>
      </w:pPr>
      <w:r>
        <w:rPr/>
        <w:t>4.2.</w:t>
        <w:tab/>
        <w:t>Организовывать и обеспечивать представителям «Исполнителя» (наряду войск национальной гвардии, дежурному пункта централизованной охраны) возможность доступа на транспортное средство в целях выполнения ими обязательств, взятых на себя «Исполнителем» в соответствии с настоящим Договором.</w:t>
      </w:r>
    </w:p>
    <w:p>
      <w:pPr>
        <w:pStyle w:val="Normal"/>
        <w:jc w:val="both"/>
        <w:rPr/>
      </w:pPr>
      <w:r>
        <w:rPr/>
        <w:t xml:space="preserve">          </w:t>
      </w:r>
      <w:r>
        <w:rPr/>
        <w:t>4.5.</w:t>
        <w:tab/>
        <w:t>Не разглашать посторонним лицам правила пользования тревожной сигнализацией и присвоенный условный номер объекта.</w:t>
      </w:r>
    </w:p>
    <w:p>
      <w:pPr>
        <w:pStyle w:val="Normal"/>
        <w:jc w:val="both"/>
        <w:rPr/>
      </w:pPr>
      <w:r>
        <w:rPr/>
        <w:t xml:space="preserve">          </w:t>
      </w:r>
      <w:r>
        <w:rPr/>
        <w:t>4.6.</w:t>
        <w:tab/>
        <w:t>Строго соблюдать Инструкцию о порядке пользования тревожной сигнализацией. Не допускать к пользованию средствами сигнализации лиц, не прошедших инструктаж о порядке их использования, а также не указанных в Списке лиц, ответственных за пользование тревожной сигнализацией.</w:t>
      </w:r>
    </w:p>
    <w:p>
      <w:pPr>
        <w:pStyle w:val="Normal"/>
        <w:jc w:val="both"/>
        <w:rPr/>
      </w:pPr>
      <w:r>
        <w:rPr/>
        <w:t xml:space="preserve">     </w:t>
      </w:r>
      <w:r>
        <w:rPr/>
        <w:t>4.7. Не вносить изменения в схему блокировки объекта, не производить замену приборов тревожной сигнализации. Своевременно сообщать «Исполнителю» о возникших неисправностях. Не допускать к обслуживанию технических средств охраны и устранению неисправностей посторонних лиц.</w:t>
      </w:r>
    </w:p>
    <w:p>
      <w:pPr>
        <w:pStyle w:val="Normal"/>
        <w:jc w:val="both"/>
        <w:rPr/>
      </w:pPr>
      <w:r>
        <w:rPr/>
        <w:t xml:space="preserve">       </w:t>
      </w:r>
      <w:r>
        <w:rPr/>
        <w:t>4.8. Проводить капитальный ремонт средств тревожной сигнализации не реже одного раза в течение срока службы приборов, извещателей и прочих элементов, установленного заводами-изготовителями, с уведомлением об этом «Исполнителя».</w:t>
      </w:r>
    </w:p>
    <w:p>
      <w:pPr>
        <w:pStyle w:val="Normal"/>
        <w:jc w:val="both"/>
        <w:rPr/>
      </w:pPr>
      <w:r>
        <w:rPr/>
        <w:t xml:space="preserve">          </w:t>
      </w:r>
      <w:r>
        <w:rPr/>
        <w:t>4.9.</w:t>
        <w:tab/>
        <w:t>Своевременно производить оплату за оказанные услуги в соответствии с разделом 6 настоящего договора.</w:t>
      </w:r>
    </w:p>
    <w:p>
      <w:pPr>
        <w:pStyle w:val="Normal"/>
        <w:jc w:val="both"/>
        <w:rPr/>
      </w:pPr>
      <w:r>
        <w:rPr/>
        <w:t xml:space="preserve">         </w:t>
      </w:r>
      <w:r>
        <w:rPr/>
        <w:t>4.10.</w:t>
        <w:tab/>
        <w:t>Оплатить исполнителю расходы, связанные с ложными выездами наряда войск национальной гвардии по вине Заказчика. Под ложным вызовов понимается случайное нажатие кнопки вызова, работниками Заказчика без наличия достаточных оснований. Ложным вызовом не считается контрольные проверки уполномоченными работниками Заказчика, совместно с Исполнителем, исполнения обязательств Исполнителя (времени прибытия работников войск национальной гвардии) с периодичностью не чаще одного раза в квартал по каждому объекту».</w:t>
      </w:r>
    </w:p>
    <w:p>
      <w:pPr>
        <w:pStyle w:val="Normal"/>
        <w:jc w:val="both"/>
        <w:rPr/>
      </w:pPr>
      <w:r>
        <w:rPr/>
        <w:t xml:space="preserve">         </w:t>
      </w:r>
      <w:r>
        <w:rPr/>
        <w:t>4.11.</w:t>
        <w:tab/>
        <w:t>Незамедлительно уведомлять «Исполнителя» обо всех случаях неисправности технических средств охраны письменно или по телефону.</w:t>
      </w:r>
    </w:p>
    <w:p>
      <w:pPr>
        <w:pStyle w:val="Normal"/>
        <w:jc w:val="both"/>
        <w:rPr/>
      </w:pPr>
      <w:r>
        <w:rPr/>
        <w:t xml:space="preserve">         </w:t>
      </w:r>
      <w:r>
        <w:rPr/>
        <w:t>4.12.</w:t>
        <w:tab/>
        <w:t>Из числа своих сотрудников назначить лиц, ответственных за эксплуатацию технических средств охраны.</w:t>
      </w:r>
    </w:p>
    <w:p>
      <w:pPr>
        <w:pStyle w:val="Normal"/>
        <w:jc w:val="both"/>
        <w:rPr/>
      </w:pPr>
      <w:r>
        <w:rPr/>
        <w:t xml:space="preserve">          </w:t>
      </w:r>
      <w:r>
        <w:rPr/>
        <w:t>4.13.</w:t>
        <w:tab/>
        <w:t>Письменно сообщать «Исполнителю» о проведении мероприятий, которые могут повлечь нарушение работоспособности технических средств охраны, не менее чем за 10 (десять) дней до их начала.</w:t>
      </w:r>
    </w:p>
    <w:p>
      <w:pPr>
        <w:pStyle w:val="Normal"/>
        <w:jc w:val="both"/>
        <w:rPr/>
      </w:pPr>
      <w:r>
        <w:rPr/>
        <w:t xml:space="preserve">    </w:t>
      </w:r>
      <w:r>
        <w:rPr/>
        <w:t>4.14. Сообщать «Исполнителю» письменно о выборе (замене) обслуживающей организации не менее чем за 10 (десять) рабочих дней.</w:t>
      </w:r>
    </w:p>
    <w:p>
      <w:pPr>
        <w:pStyle w:val="Normal"/>
        <w:jc w:val="both"/>
        <w:rPr/>
      </w:pPr>
      <w:r>
        <w:rPr/>
        <w:t xml:space="preserve">  </w:t>
      </w:r>
      <w:r>
        <w:rPr/>
        <w:t>4.15. Представлять «Исполнителю» для согласования проекты оснащения (дооборудования) объекта техническими средствами охраны.</w:t>
      </w:r>
    </w:p>
    <w:p>
      <w:pPr>
        <w:pStyle w:val="Normal"/>
        <w:jc w:val="both"/>
        <w:rPr/>
      </w:pPr>
      <w:r>
        <w:rPr/>
        <w:t xml:space="preserve">   </w:t>
      </w:r>
      <w:r>
        <w:rPr/>
        <w:t>4.16. Письменно уведомлять «Исполнителя» о времени и месте проведения комиссионного обследования (осмотра) состояния технических средств охраны для их приема в эксплуатацию не менее чем за 3 (три) рабочих дня.</w:t>
      </w:r>
    </w:p>
    <w:p>
      <w:pPr>
        <w:pStyle w:val="Normal"/>
        <w:jc w:val="both"/>
        <w:rPr/>
      </w:pPr>
      <w:r>
        <w:rPr/>
        <w:t xml:space="preserve">          </w:t>
      </w:r>
      <w:r>
        <w:rPr/>
        <w:t>4.1</w:t>
      </w:r>
      <w:r>
        <w:rPr>
          <w:sz w:val="24"/>
        </w:rPr>
        <w:t>7</w:t>
      </w:r>
      <w:r>
        <w:rPr/>
        <w:t>.</w:t>
        <w:tab/>
        <w:t xml:space="preserve">Письменно уведомлять «Исполнителя» о сроках проведения технического обслуживания технических средств сигнализации. </w:t>
      </w:r>
    </w:p>
    <w:p>
      <w:pPr>
        <w:pStyle w:val="Normal"/>
        <w:jc w:val="both"/>
        <w:rPr/>
      </w:pPr>
      <w:r>
        <w:rPr/>
        <w:t xml:space="preserve">         </w:t>
      </w:r>
      <w:r>
        <w:rPr/>
        <w:t>4.1</w:t>
      </w:r>
      <w:r>
        <w:rPr>
          <w:sz w:val="24"/>
        </w:rPr>
        <w:t>8</w:t>
      </w:r>
      <w:r>
        <w:rPr/>
        <w:t>.   В течение двух рабочих дней, с  момента изменения адреса местонахождения, ликвидации (реорганизации) Заказчика, утраты права пользования, владения, распоряжения  транспортными средствами, сдачи их в аренду, изменения иных данных о Заказчике, письменно уведомить об этом Исполнителя.</w:t>
      </w:r>
    </w:p>
    <w:p>
      <w:pPr>
        <w:pStyle w:val="Normal"/>
        <w:jc w:val="both"/>
        <w:rPr/>
      </w:pPr>
      <w:r>
        <w:rPr/>
        <w:t xml:space="preserve">         </w:t>
      </w:r>
      <w:r>
        <w:rPr/>
        <w:t>4.</w:t>
      </w:r>
      <w:r>
        <w:rPr>
          <w:sz w:val="24"/>
        </w:rPr>
        <w:t>19</w:t>
      </w:r>
      <w:r>
        <w:rPr/>
        <w:t>. В течение 2 рабочих дней информировать Исполнителя о возникновении спора о праве собственности и управления транспортными средствами Заказчика, а также о ликвидации транспортного средства Заказчика.</w:t>
      </w:r>
    </w:p>
    <w:p>
      <w:pPr>
        <w:pStyle w:val="Normal"/>
        <w:jc w:val="both"/>
        <w:rPr/>
      </w:pPr>
      <w:r>
        <w:rPr/>
      </w:r>
    </w:p>
    <w:p>
      <w:pPr>
        <w:pStyle w:val="Style23"/>
        <w:spacing w:lineRule="atLeast" w:line="20"/>
        <w:ind w:left="0" w:right="0" w:firstLine="709"/>
        <w:jc w:val="center"/>
        <w:rPr>
          <w:rFonts w:ascii="Times New Roman" w:hAnsi="Times New Roman"/>
          <w:b/>
          <w:b/>
        </w:rPr>
      </w:pPr>
      <w:r>
        <w:rPr>
          <w:rFonts w:ascii="Times New Roman" w:hAnsi="Times New Roman"/>
          <w:b/>
        </w:rPr>
        <w:t>5. Права сторон</w:t>
      </w:r>
    </w:p>
    <w:p>
      <w:pPr>
        <w:pStyle w:val="Style23"/>
        <w:spacing w:lineRule="atLeast" w:line="20"/>
        <w:ind w:left="0" w:right="0" w:firstLine="709"/>
        <w:jc w:val="center"/>
        <w:rPr>
          <w:rFonts w:ascii="Times New Roman" w:hAnsi="Times New Roman"/>
        </w:rPr>
      </w:pPr>
      <w:r>
        <w:rPr>
          <w:rFonts w:ascii="Times New Roman" w:hAnsi="Times New Roman"/>
        </w:rPr>
      </w:r>
    </w:p>
    <w:p>
      <w:pPr>
        <w:pStyle w:val="Style23"/>
        <w:spacing w:lineRule="atLeast" w:line="20"/>
        <w:ind w:left="0" w:right="0" w:firstLine="709"/>
        <w:rPr>
          <w:rFonts w:ascii="Times New Roman" w:hAnsi="Times New Roman"/>
        </w:rPr>
      </w:pPr>
      <w:r>
        <w:rPr>
          <w:rFonts w:ascii="Times New Roman" w:hAnsi="Times New Roman"/>
        </w:rPr>
        <w:t>5.1.</w:t>
        <w:tab/>
        <w:t>Заказчик вправе осуществлять вызов группы задержания только непосредственно с помощью тревожной кнопки, установленной в подвижном транспортном средстве, указанном в приложении № 1 к настоящему Договору.</w:t>
      </w:r>
    </w:p>
    <w:p>
      <w:pPr>
        <w:pStyle w:val="Style23"/>
        <w:spacing w:lineRule="atLeast" w:line="20"/>
        <w:ind w:left="0" w:right="0" w:firstLine="709"/>
        <w:rPr>
          <w:rFonts w:ascii="Times New Roman" w:hAnsi="Times New Roman"/>
        </w:rPr>
      </w:pPr>
      <w:r>
        <w:rPr>
          <w:rFonts w:ascii="Times New Roman" w:hAnsi="Times New Roman"/>
        </w:rPr>
        <w:t>5.2. В случае нарушения одной из «Сторон» обязательств по договору, другая «Сторона» вправе потребовать устранения недостатков, возникших вследствие отступления от договора.</w:t>
      </w:r>
    </w:p>
    <w:p>
      <w:pPr>
        <w:pStyle w:val="Style23"/>
        <w:spacing w:lineRule="atLeast" w:line="20"/>
        <w:ind w:left="0" w:right="0" w:firstLine="709"/>
        <w:rPr>
          <w:rFonts w:ascii="Times New Roman" w:hAnsi="Times New Roman"/>
        </w:rPr>
      </w:pPr>
      <w:r>
        <w:rPr>
          <w:rFonts w:ascii="Times New Roman" w:hAnsi="Times New Roman"/>
        </w:rPr>
        <w:t>5.3.</w:t>
        <w:tab/>
        <w:t>Любая «Сторона» настоящего договора, в случае не устранения недостатков в течение 10 (десяти) дней после письменного направления претензии, вправе потребовать досрочного расторжения договора в одностороннем порядке.</w:t>
      </w:r>
    </w:p>
    <w:p>
      <w:pPr>
        <w:pStyle w:val="Style23"/>
        <w:spacing w:lineRule="atLeast" w:line="20"/>
        <w:ind w:left="0" w:right="0" w:firstLine="709"/>
        <w:rPr>
          <w:rFonts w:ascii="Times New Roman" w:hAnsi="Times New Roman"/>
        </w:rPr>
      </w:pPr>
      <w:r>
        <w:rPr>
          <w:rFonts w:ascii="Times New Roman" w:hAnsi="Times New Roman"/>
        </w:rPr>
        <w:t>5.4.</w:t>
        <w:tab/>
        <w:t>«Исполнитель» вправе в случае получения информации о возникновении спора между «Заказчиком» и третьим лицом по поводу права собственности  временно приостановить оказание услуг по настоящему договору до момента окончательного разрешения спора в судебном порядке. «Исполнитель» письменно уведомляет «Заказчика» не менее чем за 1 (одни) сутки до предполагаемой даты приостановления оказания услуг.</w:t>
      </w:r>
    </w:p>
    <w:p>
      <w:pPr>
        <w:pStyle w:val="Style23"/>
        <w:spacing w:lineRule="atLeast" w:line="20"/>
        <w:ind w:left="0" w:right="0" w:firstLine="709"/>
        <w:rPr>
          <w:rFonts w:ascii="Times New Roman" w:hAnsi="Times New Roman"/>
        </w:rPr>
      </w:pPr>
      <w:r>
        <w:rPr>
          <w:rFonts w:ascii="Times New Roman" w:hAnsi="Times New Roman"/>
        </w:rPr>
        <w:t>5.5.</w:t>
        <w:tab/>
        <w:t>По соглашению «Сторон» «Заказчик» имеет право осуществлять авансовый платеж согласно заключенному договору на оказание услуг в размере до 100 % суммы договора.</w:t>
      </w:r>
    </w:p>
    <w:p>
      <w:pPr>
        <w:pStyle w:val="Style23"/>
        <w:spacing w:lineRule="atLeast" w:line="20"/>
        <w:ind w:left="0" w:right="0" w:firstLine="709"/>
        <w:rPr>
          <w:rFonts w:ascii="Times New Roman" w:hAnsi="Times New Roman"/>
        </w:rPr>
      </w:pPr>
      <w:r>
        <w:rPr>
          <w:rFonts w:ascii="Times New Roman" w:hAnsi="Times New Roman"/>
        </w:rPr>
        <w:t>5.6.</w:t>
        <w:tab/>
        <w:t>«Заказчик», в лице руководителя, по предписанию «Исполнителя» и совместно с «Исполнителем», вправе проводить проверку исполнения обязательств «Исполнителя» (времени, прибытия  работников войск национальной гвардии) с периодичностью не чаще одного раза в квартал по каждому объекту.</w:t>
      </w:r>
    </w:p>
    <w:p>
      <w:pPr>
        <w:pStyle w:val="Style23"/>
        <w:ind w:left="0" w:right="0" w:firstLine="709"/>
        <w:rPr>
          <w:rFonts w:ascii="Times New Roman" w:hAnsi="Times New Roman"/>
          <w:color w:val="000000"/>
          <w:spacing w:val="3"/>
        </w:rPr>
      </w:pPr>
      <w:r>
        <w:rPr>
          <w:rFonts w:ascii="Times New Roman" w:hAnsi="Times New Roman"/>
          <w:color w:val="000000"/>
          <w:spacing w:val="3"/>
        </w:rPr>
      </w:r>
    </w:p>
    <w:p>
      <w:pPr>
        <w:pStyle w:val="Style32"/>
        <w:numPr>
          <w:ilvl w:val="0"/>
          <w:numId w:val="0"/>
        </w:numPr>
        <w:tabs>
          <w:tab w:val="clear" w:pos="708"/>
          <w:tab w:val="left" w:pos="0" w:leader="none"/>
        </w:tabs>
        <w:ind w:left="0" w:right="0" w:firstLine="720"/>
        <w:jc w:val="center"/>
        <w:outlineLvl w:val="0"/>
        <w:rPr>
          <w:rFonts w:ascii="Times New Roman" w:hAnsi="Times New Roman"/>
          <w:b/>
          <w:b/>
        </w:rPr>
      </w:pPr>
      <w:r>
        <w:rPr>
          <w:rFonts w:ascii="Times New Roman" w:hAnsi="Times New Roman"/>
          <w:b/>
        </w:rPr>
        <w:t>6. Сумма договора и порядок расчетов</w:t>
      </w:r>
    </w:p>
    <w:p>
      <w:pPr>
        <w:pStyle w:val="Style32"/>
        <w:numPr>
          <w:ilvl w:val="0"/>
          <w:numId w:val="0"/>
        </w:numPr>
        <w:tabs>
          <w:tab w:val="clear" w:pos="708"/>
          <w:tab w:val="left" w:pos="0" w:leader="none"/>
        </w:tabs>
        <w:ind w:left="0" w:right="0" w:firstLine="720"/>
        <w:jc w:val="center"/>
        <w:outlineLvl w:val="0"/>
        <w:rPr>
          <w:rFonts w:ascii="Times New Roman" w:hAnsi="Times New Roman"/>
          <w:b/>
          <w:b/>
        </w:rPr>
      </w:pPr>
      <w:r>
        <w:rPr>
          <w:rFonts w:ascii="Times New Roman" w:hAnsi="Times New Roman"/>
          <w:b/>
        </w:rPr>
      </w:r>
    </w:p>
    <w:p>
      <w:pPr>
        <w:pStyle w:val="Style32"/>
        <w:numPr>
          <w:ilvl w:val="0"/>
          <w:numId w:val="0"/>
        </w:numPr>
        <w:tabs>
          <w:tab w:val="clear" w:pos="708"/>
          <w:tab w:val="left" w:pos="0" w:leader="none"/>
        </w:tabs>
        <w:ind w:left="0" w:right="0" w:firstLine="720"/>
        <w:outlineLvl w:val="0"/>
        <w:rPr>
          <w:rFonts w:ascii="Times New Roman" w:hAnsi="Times New Roman"/>
        </w:rPr>
      </w:pPr>
      <w:r>
        <w:rPr>
          <w:rFonts w:ascii="Times New Roman" w:hAnsi="Times New Roman"/>
        </w:rPr>
        <w:t>6.1. Цена договора составляет ___________</w:t>
      </w:r>
      <w:r>
        <w:rPr>
          <w:rFonts w:ascii="Times New Roman" w:hAnsi="Times New Roman"/>
          <w:color w:val="000000"/>
          <w:sz w:val="24"/>
        </w:rPr>
        <w:t xml:space="preserve"> </w:t>
      </w:r>
      <w:r>
        <w:rPr>
          <w:rFonts w:ascii="Times New Roman" w:hAnsi="Times New Roman"/>
        </w:rPr>
        <w:t>руб.( ) на период действия договора с 01.</w:t>
      </w:r>
      <w:r>
        <w:rPr>
          <w:rFonts w:ascii="Times New Roman" w:hAnsi="Times New Roman"/>
          <w:sz w:val="24"/>
        </w:rPr>
        <w:t>01</w:t>
      </w:r>
      <w:r>
        <w:rPr>
          <w:rFonts w:ascii="Times New Roman" w:hAnsi="Times New Roman"/>
        </w:rPr>
        <w:t>.202</w:t>
      </w:r>
      <w:r>
        <w:rPr>
          <w:rFonts w:ascii="Times New Roman" w:hAnsi="Times New Roman"/>
          <w:sz w:val="24"/>
        </w:rPr>
        <w:t xml:space="preserve">5 </w:t>
      </w:r>
      <w:r>
        <w:rPr>
          <w:rFonts w:ascii="Times New Roman" w:hAnsi="Times New Roman"/>
        </w:rPr>
        <w:t>года  по 31.12.202</w:t>
      </w:r>
      <w:r>
        <w:rPr>
          <w:rFonts w:ascii="Times New Roman" w:hAnsi="Times New Roman"/>
          <w:sz w:val="24"/>
        </w:rPr>
        <w:t>5</w:t>
      </w:r>
      <w:r>
        <w:rPr>
          <w:rFonts w:ascii="Times New Roman" w:hAnsi="Times New Roman"/>
        </w:rPr>
        <w:t xml:space="preserve"> года. </w:t>
      </w:r>
    </w:p>
    <w:p>
      <w:pPr>
        <w:pStyle w:val="Style32"/>
        <w:numPr>
          <w:ilvl w:val="0"/>
          <w:numId w:val="0"/>
        </w:numPr>
        <w:tabs>
          <w:tab w:val="clear" w:pos="708"/>
          <w:tab w:val="left" w:pos="0" w:leader="none"/>
        </w:tabs>
        <w:ind w:left="0" w:right="0" w:firstLine="720"/>
        <w:outlineLvl w:val="0"/>
        <w:rPr>
          <w:rFonts w:ascii="Times New Roman" w:hAnsi="Times New Roman"/>
        </w:rPr>
      </w:pPr>
      <w:r>
        <w:rPr>
          <w:rFonts w:ascii="Times New Roman" w:hAnsi="Times New Roman"/>
        </w:rPr>
        <w:t>6.1.1 Ежемесячная абонентская оплата по мониторингу за техническими средствам охраны, оказываемых «Исполнителем» составляет _________________, и</w:t>
      </w:r>
      <w:r>
        <w:rPr>
          <w:rFonts w:eastAsia="Tahoma" w:cs="Noto Sans Devanagari" w:ascii="Times New Roman" w:hAnsi="Times New Roman"/>
          <w:color w:val="000000"/>
          <w:spacing w:val="0"/>
          <w:kern w:val="0"/>
          <w:sz w:val="24"/>
          <w:szCs w:val="20"/>
          <w:lang w:val="ru-RU" w:eastAsia="zh-CN" w:bidi="hi-IN"/>
        </w:rPr>
        <w:t>з расчета стоимости услуги за одно транспортное средство 667,26 руб./мес.</w:t>
      </w:r>
      <w:r>
        <w:rPr>
          <w:rFonts w:ascii="Times New Roman" w:hAnsi="Times New Roman"/>
        </w:rPr>
        <w:t xml:space="preserve"> Количество автомобилей и общая стоимость в месяц  указывается в Приложении №1 к Договору.</w:t>
      </w:r>
    </w:p>
    <w:p>
      <w:pPr>
        <w:pStyle w:val="Style32"/>
        <w:numPr>
          <w:ilvl w:val="0"/>
          <w:numId w:val="0"/>
        </w:numPr>
        <w:tabs>
          <w:tab w:val="clear" w:pos="708"/>
          <w:tab w:val="left" w:pos="0" w:leader="none"/>
        </w:tabs>
        <w:ind w:left="0" w:right="0" w:firstLine="720"/>
        <w:outlineLvl w:val="0"/>
        <w:rPr>
          <w:rFonts w:ascii="Times New Roman" w:hAnsi="Times New Roman"/>
        </w:rPr>
      </w:pPr>
      <w:r>
        <w:rPr>
          <w:rFonts w:ascii="Times New Roman" w:hAnsi="Times New Roman"/>
        </w:rPr>
        <w:t xml:space="preserve">6.2.  Оплата за услуги, оказываемые «Исполнителем» по настоящему Договору, осуществляется Заказчиком ежемесячно, путем перечисления денежных средств на расчетный счет «Исполнителя», на основании подписанного обеими сторонами Акта оказанных услуг и счета, выставленного «Исполнителем» не позднее </w:t>
      </w:r>
      <w:r>
        <w:rPr>
          <w:rFonts w:ascii="Times New Roman" w:hAnsi="Times New Roman"/>
          <w:color w:val="000000"/>
          <w:sz w:val="24"/>
        </w:rPr>
        <w:t xml:space="preserve">7 (семи) рабочих дней месяца, следующего за расчетным, </w:t>
      </w:r>
      <w:r>
        <w:rPr>
          <w:rFonts w:ascii="Times New Roman" w:hAnsi="Times New Roman"/>
        </w:rPr>
        <w:t xml:space="preserve"> после подписания акта оказанных услуг. Оплата за декабрь производится путем предварительного платежа в размере, не превышающем стоимости месячной потребности предоставляемых услуг, на основании счета до 25 декабря.</w:t>
      </w:r>
    </w:p>
    <w:p>
      <w:pPr>
        <w:pStyle w:val="Style32"/>
        <w:numPr>
          <w:ilvl w:val="0"/>
          <w:numId w:val="0"/>
        </w:numPr>
        <w:tabs>
          <w:tab w:val="clear" w:pos="708"/>
          <w:tab w:val="left" w:pos="0" w:leader="none"/>
        </w:tabs>
        <w:ind w:left="0" w:right="0" w:firstLine="720"/>
        <w:outlineLvl w:val="0"/>
        <w:rPr>
          <w:rFonts w:ascii="Times New Roman" w:hAnsi="Times New Roman"/>
        </w:rPr>
      </w:pPr>
      <w:r>
        <w:rPr>
          <w:rFonts w:ascii="Times New Roman" w:hAnsi="Times New Roman"/>
        </w:rPr>
        <w:t>6.2.1.</w:t>
      </w:r>
      <w:r>
        <w:rPr/>
        <w:t xml:space="preserve"> </w:t>
      </w:r>
      <w:r>
        <w:rPr>
          <w:rFonts w:ascii="Times New Roman" w:hAnsi="Times New Roman"/>
        </w:rPr>
        <w:t>Фактом оплаты за услуги «Исполнителя» признается поступление денежных средств на расчетный счет «Исполнителя».</w:t>
      </w:r>
    </w:p>
    <w:p>
      <w:pPr>
        <w:pStyle w:val="Style32"/>
        <w:numPr>
          <w:ilvl w:val="0"/>
          <w:numId w:val="0"/>
        </w:numPr>
        <w:tabs>
          <w:tab w:val="clear" w:pos="708"/>
          <w:tab w:val="left" w:pos="0" w:leader="none"/>
        </w:tabs>
        <w:ind w:left="0" w:right="0" w:firstLine="720"/>
        <w:outlineLvl w:val="0"/>
        <w:rPr>
          <w:rFonts w:ascii="Times New Roman" w:hAnsi="Times New Roman"/>
        </w:rPr>
      </w:pPr>
      <w:r>
        <w:rPr>
          <w:rFonts w:ascii="Times New Roman" w:hAnsi="Times New Roman"/>
        </w:rPr>
        <w:t xml:space="preserve"> </w:t>
      </w:r>
      <w:r>
        <w:rPr>
          <w:rFonts w:ascii="Times New Roman" w:hAnsi="Times New Roman"/>
        </w:rPr>
        <w:t xml:space="preserve">6.3. За несвоевременную оплату свыше 2 (двух) месяцев по настоящему договору, «Исполнитель» в одностороннем порядке приостанавливает действие договора - до погашения задолженности и прекращает централизованное наблюдение за объектом. </w:t>
      </w:r>
    </w:p>
    <w:p>
      <w:pPr>
        <w:pStyle w:val="Style32"/>
        <w:numPr>
          <w:ilvl w:val="0"/>
          <w:numId w:val="0"/>
        </w:numPr>
        <w:tabs>
          <w:tab w:val="clear" w:pos="708"/>
          <w:tab w:val="left" w:pos="0" w:leader="none"/>
        </w:tabs>
        <w:ind w:left="0" w:right="0" w:firstLine="720"/>
        <w:outlineLvl w:val="0"/>
        <w:rPr>
          <w:rFonts w:ascii="Times New Roman" w:hAnsi="Times New Roman"/>
        </w:rPr>
      </w:pPr>
      <w:r>
        <w:rPr>
          <w:rFonts w:ascii="Times New Roman" w:hAnsi="Times New Roman"/>
        </w:rPr>
        <w:t xml:space="preserve">  </w:t>
      </w:r>
    </w:p>
    <w:p>
      <w:pPr>
        <w:pStyle w:val="Style32"/>
        <w:numPr>
          <w:ilvl w:val="0"/>
          <w:numId w:val="0"/>
        </w:numPr>
        <w:tabs>
          <w:tab w:val="clear" w:pos="708"/>
          <w:tab w:val="left" w:pos="0" w:leader="none"/>
        </w:tabs>
        <w:ind w:left="0" w:right="0" w:firstLine="720"/>
        <w:outlineLvl w:val="0"/>
        <w:rPr>
          <w:rFonts w:ascii="Times New Roman" w:hAnsi="Times New Roman"/>
        </w:rPr>
      </w:pPr>
      <w:r>
        <w:rPr>
          <w:rFonts w:ascii="Times New Roman" w:hAnsi="Times New Roman"/>
        </w:rPr>
      </w:r>
    </w:p>
    <w:p>
      <w:pPr>
        <w:pStyle w:val="Style32"/>
        <w:numPr>
          <w:ilvl w:val="0"/>
          <w:numId w:val="0"/>
        </w:numPr>
        <w:tabs>
          <w:tab w:val="clear" w:pos="708"/>
          <w:tab w:val="left" w:pos="0" w:leader="none"/>
        </w:tabs>
        <w:ind w:left="0" w:right="0" w:firstLine="720"/>
        <w:jc w:val="center"/>
        <w:outlineLvl w:val="0"/>
        <w:rPr>
          <w:rFonts w:ascii="Times New Roman" w:hAnsi="Times New Roman"/>
          <w:b/>
          <w:b/>
        </w:rPr>
      </w:pPr>
      <w:r>
        <w:rPr>
          <w:rFonts w:ascii="Times New Roman" w:hAnsi="Times New Roman"/>
          <w:b/>
        </w:rPr>
        <w:t>7. Ответственность сторон</w:t>
      </w:r>
    </w:p>
    <w:p>
      <w:pPr>
        <w:pStyle w:val="Style32"/>
        <w:numPr>
          <w:ilvl w:val="0"/>
          <w:numId w:val="0"/>
        </w:numPr>
        <w:tabs>
          <w:tab w:val="clear" w:pos="708"/>
          <w:tab w:val="left" w:pos="0" w:leader="none"/>
        </w:tabs>
        <w:ind w:left="0" w:right="0" w:firstLine="720"/>
        <w:jc w:val="center"/>
        <w:outlineLvl w:val="0"/>
        <w:rPr>
          <w:rFonts w:ascii="Times New Roman" w:hAnsi="Times New Roman"/>
          <w:b/>
          <w:b/>
        </w:rPr>
      </w:pPr>
      <w:r>
        <w:rPr>
          <w:rFonts w:ascii="Times New Roman" w:hAnsi="Times New Roman"/>
          <w:b/>
        </w:rPr>
      </w:r>
    </w:p>
    <w:p>
      <w:pPr>
        <w:pStyle w:val="Style32"/>
        <w:numPr>
          <w:ilvl w:val="0"/>
          <w:numId w:val="0"/>
        </w:numPr>
        <w:tabs>
          <w:tab w:val="clear" w:pos="708"/>
          <w:tab w:val="left" w:pos="0" w:leader="none"/>
        </w:tabs>
        <w:ind w:left="0" w:right="0" w:hanging="0"/>
        <w:outlineLvl w:val="0"/>
        <w:rPr>
          <w:rFonts w:ascii="Times New Roman" w:hAnsi="Times New Roman"/>
        </w:rPr>
      </w:pPr>
      <w:r>
        <w:rPr>
          <w:rFonts w:ascii="Times New Roman" w:hAnsi="Times New Roman"/>
        </w:rPr>
        <w:t xml:space="preserve">      </w:t>
      </w:r>
      <w:r>
        <w:rPr>
          <w:rFonts w:ascii="Times New Roman" w:hAnsi="Times New Roman"/>
        </w:rPr>
        <w:t>7.1.  По настоящему договору «Исполнитель» материальной ответственности за ущерб причиненный Заказчику посторонними лицами, проникшими на подвижное транспортное средство и совершившими противоправное деяние, не несет.</w:t>
      </w:r>
    </w:p>
    <w:p>
      <w:pPr>
        <w:pStyle w:val="Style32"/>
        <w:numPr>
          <w:ilvl w:val="0"/>
          <w:numId w:val="0"/>
        </w:numPr>
        <w:tabs>
          <w:tab w:val="clear" w:pos="708"/>
          <w:tab w:val="left" w:pos="0" w:leader="none"/>
        </w:tabs>
        <w:ind w:left="0" w:right="0" w:hanging="0"/>
        <w:outlineLvl w:val="0"/>
        <w:rPr>
          <w:rFonts w:ascii="Times New Roman" w:hAnsi="Times New Roman"/>
        </w:rPr>
      </w:pPr>
      <w:r>
        <w:rPr>
          <w:rFonts w:ascii="Times New Roman" w:hAnsi="Times New Roman"/>
        </w:rPr>
        <w:t xml:space="preserve">        </w:t>
      </w:r>
      <w:r>
        <w:rPr>
          <w:rFonts w:ascii="Times New Roman" w:hAnsi="Times New Roman"/>
        </w:rPr>
        <w:t xml:space="preserve">7.2. При неоплате или несвоевременной оплате услуг, оказываемых «Исполнителем», «Исполнитель» вправе начислять «Заказчику»  пени в размере ключевой </w:t>
      </w:r>
      <w:r>
        <w:rPr>
          <w:rFonts w:ascii="Times New Roman" w:hAnsi="Times New Roman"/>
          <w:color w:val="000000"/>
          <w:sz w:val="24"/>
        </w:rPr>
        <w:t>ставки  Центрального Банка Российской Федерации</w:t>
      </w:r>
      <w:r>
        <w:rPr>
          <w:rFonts w:ascii="Times New Roman" w:hAnsi="Times New Roman"/>
        </w:rPr>
        <w:t xml:space="preserve"> от суммы долга за каждый день просрочки.</w:t>
      </w:r>
    </w:p>
    <w:p>
      <w:pPr>
        <w:pStyle w:val="Style32"/>
        <w:numPr>
          <w:ilvl w:val="0"/>
          <w:numId w:val="0"/>
        </w:numPr>
        <w:tabs>
          <w:tab w:val="clear" w:pos="708"/>
          <w:tab w:val="left" w:pos="0" w:leader="none"/>
        </w:tabs>
        <w:ind w:left="0" w:right="0" w:hanging="0"/>
        <w:outlineLvl w:val="0"/>
        <w:rPr>
          <w:rFonts w:ascii="Times New Roman" w:hAnsi="Times New Roman"/>
        </w:rPr>
      </w:pPr>
      <w:r>
        <w:rPr>
          <w:rFonts w:ascii="Times New Roman" w:hAnsi="Times New Roman"/>
        </w:rPr>
        <w:t xml:space="preserve">    </w:t>
      </w:r>
      <w:r>
        <w:rPr>
          <w:rFonts w:ascii="Times New Roman" w:hAnsi="Times New Roman"/>
        </w:rPr>
        <w:t>7.3. «Заказчик» уплачивает штраф в размере установленного тарифа, в случае необоснованного (ложного) вызова наряда войск национальной гвардии по вине «Заказчика» в течение 10 (десяти) дней с момента направления «Исполнителя» «Заказчику» соответствующего уведомления. Факт необоснованного (ложного) вызова наряда войск национальной гвардии оформляется Актом осмотра объекта. Акт осмотра является основанием для взыскания «Исполнителем» штрафа с «Заказчика».</w:t>
      </w:r>
    </w:p>
    <w:p>
      <w:pPr>
        <w:pStyle w:val="P241"/>
        <w:spacing w:before="280" w:after="280"/>
        <w:ind w:left="0" w:right="0" w:firstLine="709"/>
        <w:jc w:val="center"/>
        <w:rPr>
          <w:b/>
          <w:b/>
        </w:rPr>
      </w:pPr>
      <w:r>
        <w:rPr>
          <w:b/>
        </w:rPr>
        <w:t xml:space="preserve"> </w:t>
      </w:r>
      <w:r>
        <w:rPr>
          <w:b/>
        </w:rPr>
        <w:t>8. Форс-мажорные обстоятельства</w:t>
      </w:r>
    </w:p>
    <w:p>
      <w:pPr>
        <w:pStyle w:val="P241"/>
        <w:spacing w:before="280" w:after="280"/>
        <w:ind w:left="0" w:right="0" w:firstLine="709"/>
        <w:jc w:val="both"/>
        <w:rPr/>
      </w:pPr>
      <w:r>
        <w:rPr/>
        <w:t>8.1 Наличие форс-мажорных обстоятельств у одной из «Сторон»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указов Президента РФ и постановлений Правительства РФ,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Срок исполнения обязательств сдвигается соразмерно времени, в течение, которого будут действовать такие обстоятельства, но не более чем на 2 (два) месяца.</w:t>
      </w:r>
    </w:p>
    <w:p>
      <w:pPr>
        <w:pStyle w:val="Normal"/>
        <w:jc w:val="center"/>
        <w:rPr>
          <w:b/>
          <w:b/>
        </w:rPr>
      </w:pPr>
      <w:r>
        <w:rPr>
          <w:b/>
        </w:rPr>
        <w:t>9. Срок действия, порядок изменения и расторжения договора</w:t>
      </w:r>
    </w:p>
    <w:p>
      <w:pPr>
        <w:pStyle w:val="Normal"/>
        <w:jc w:val="center"/>
        <w:rPr>
          <w:b/>
          <w:b/>
        </w:rPr>
      </w:pPr>
      <w:r>
        <w:rPr>
          <w:b/>
        </w:rPr>
      </w:r>
    </w:p>
    <w:p>
      <w:pPr>
        <w:pStyle w:val="Normal"/>
        <w:jc w:val="both"/>
        <w:rPr/>
      </w:pPr>
      <w:r>
        <w:rPr/>
        <w:t xml:space="preserve">         </w:t>
      </w:r>
      <w:r>
        <w:rPr/>
        <w:t>9.1.</w:t>
        <w:tab/>
        <w:t>Настоящий Договор вступает в силу с момента его подписания и действует с 01.</w:t>
      </w:r>
      <w:bookmarkStart w:id="0" w:name="_GoBack"/>
      <w:bookmarkEnd w:id="0"/>
      <w:r>
        <w:rPr>
          <w:sz w:val="24"/>
        </w:rPr>
        <w:t>01</w:t>
      </w:r>
      <w:r>
        <w:rPr/>
        <w:t>.202</w:t>
      </w:r>
      <w:r>
        <w:rPr>
          <w:sz w:val="24"/>
        </w:rPr>
        <w:t xml:space="preserve">5 </w:t>
      </w:r>
      <w:r>
        <w:rPr/>
        <w:t>г. по 31.12.202</w:t>
      </w:r>
      <w:r>
        <w:rPr>
          <w:sz w:val="24"/>
        </w:rPr>
        <w:t xml:space="preserve">5 </w:t>
      </w:r>
      <w:r>
        <w:rPr/>
        <w:t>г.</w:t>
      </w:r>
    </w:p>
    <w:p>
      <w:pPr>
        <w:pStyle w:val="Normal"/>
        <w:jc w:val="both"/>
        <w:rPr/>
      </w:pPr>
      <w:r>
        <w:rPr/>
        <w:t xml:space="preserve">           </w:t>
      </w:r>
      <w:r>
        <w:rPr/>
        <w:t>Все вносимые дополнения и изменения в договор рассматриваются сторонами в 10-дневный срок и оформляются дополнительными соглашениями (за исключением Актов обследования, Инструкции о действиях при обнаружении пожара на охраняемом объекте).</w:t>
      </w:r>
    </w:p>
    <w:p>
      <w:pPr>
        <w:pStyle w:val="Normal"/>
        <w:jc w:val="both"/>
        <w:rPr/>
      </w:pPr>
      <w:r>
        <w:rPr/>
        <w:t xml:space="preserve">         </w:t>
      </w:r>
      <w:r>
        <w:rPr/>
        <w:t>9.2.</w:t>
        <w:tab/>
        <w:t>Расторжение договора до истечения срока его действия возможно по соглашению сторон, при этом заинтересованная сторона обязана письменно предупредить другую сторону не менее чем за 15 (пятнадцать) дней.</w:t>
      </w:r>
    </w:p>
    <w:p>
      <w:pPr>
        <w:pStyle w:val="Normal"/>
        <w:jc w:val="both"/>
        <w:rPr/>
      </w:pPr>
      <w:r>
        <w:rPr/>
        <w:t xml:space="preserve">         </w:t>
      </w:r>
      <w:r>
        <w:rPr/>
        <w:t>9.3.</w:t>
        <w:tab/>
        <w:t>«Исполнитель» вправе в одностороннем порядке расторгнуть настоящий договора с момента получения письменного отказа «Заказчика» от оказания услуг по измененным тарифам либо с момента истечения 5-дневного срока для предоставления «Заказчиком» письменного возражения (отказа) от оказания услуг по измененным тарифам, если таковой в указанный срок от «Заказчика» не поступал.</w:t>
      </w:r>
    </w:p>
    <w:p>
      <w:pPr>
        <w:pStyle w:val="Normal"/>
        <w:jc w:val="both"/>
        <w:rPr/>
      </w:pPr>
      <w:r>
        <w:rPr/>
        <w:t xml:space="preserve">          </w:t>
      </w:r>
      <w:r>
        <w:rPr/>
        <w:t>9.4.</w:t>
        <w:tab/>
        <w:t>«Исполнитель» вправе в одностороннем порядке расторгнуть договор или временно прекратить выполнение обязательств по договору в случае неоднократного (более одного раза) невыполнения «Заказчиком» в установленные сроки договорных обязательств или предписаний «Исполнителя», указанных в Актах обследования и других документах, письменно предупредив об этом «Заказчика» не менее чем за 15 (пятнадцать) дней до предполагаемой даты прекращения обязательств или расторжения договора.</w:t>
      </w:r>
    </w:p>
    <w:p>
      <w:pPr>
        <w:pStyle w:val="Normal"/>
        <w:jc w:val="both"/>
        <w:rPr/>
      </w:pPr>
      <w:r>
        <w:rPr/>
        <w:t xml:space="preserve">           </w:t>
      </w:r>
      <w:r>
        <w:rPr/>
        <w:t>9.5.</w:t>
        <w:tab/>
        <w:t>По всем вопросам, не урегулированным настоящим договором, стороны руководствуются действующим законодательством Российской Федерации. Все споры между сторонами, по которым не было достигнуто соглашение, разрешаются в соответствии с законодательством Российской Федерации в Арбитражном суде Камчатского края.</w:t>
      </w:r>
    </w:p>
    <w:p>
      <w:pPr>
        <w:pStyle w:val="Normal"/>
        <w:jc w:val="both"/>
        <w:rPr/>
      </w:pPr>
      <w:r>
        <w:rPr/>
        <w:t xml:space="preserve">           </w:t>
      </w:r>
      <w:r>
        <w:rPr/>
        <w:t>9.6.</w:t>
        <w:tab/>
        <w:t>При изменении правового статуса, местонахождения согласно учредительным документам либо банковских реквизитов «Стороны» письменно информируют об этом друг друга в срок не позднее 10 (десять) дней с момента изменения.</w:t>
      </w:r>
    </w:p>
    <w:p>
      <w:pPr>
        <w:pStyle w:val="Normal"/>
        <w:jc w:val="both"/>
        <w:rPr/>
      </w:pPr>
      <w:r>
        <w:rPr/>
        <w:t xml:space="preserve">           </w:t>
      </w:r>
      <w:r>
        <w:rPr/>
        <w:t>9.7.</w:t>
        <w:tab/>
        <w:t>Договор с приложениями составлен в двух экземплярах, имеющих одинаковую юридическую силу, по одному для каждой стороны договора.</w:t>
      </w:r>
    </w:p>
    <w:p>
      <w:pPr>
        <w:pStyle w:val="Normal"/>
        <w:jc w:val="center"/>
        <w:rPr>
          <w:b/>
          <w:b/>
        </w:rPr>
      </w:pPr>
      <w:r>
        <w:rPr>
          <w:b/>
        </w:rPr>
      </w:r>
    </w:p>
    <w:p>
      <w:pPr>
        <w:pStyle w:val="Normal"/>
        <w:jc w:val="center"/>
        <w:rPr>
          <w:b/>
          <w:b/>
        </w:rPr>
      </w:pPr>
      <w:r>
        <w:rPr>
          <w:b/>
        </w:rPr>
        <w:t>1</w:t>
      </w:r>
      <w:r>
        <w:rPr>
          <w:b/>
          <w:sz w:val="24"/>
        </w:rPr>
        <w:t>0</w:t>
      </w:r>
      <w:r>
        <w:rPr>
          <w:b/>
        </w:rPr>
        <w:t>. Реквизиты Сторон</w:t>
      </w:r>
    </w:p>
    <w:p>
      <w:pPr>
        <w:pStyle w:val="Normal"/>
        <w:jc w:val="center"/>
        <w:rPr>
          <w:b/>
          <w:b/>
        </w:rPr>
      </w:pPr>
      <w:r>
        <w:rPr>
          <w:b/>
        </w:rPr>
      </w:r>
    </w:p>
    <w:tbl>
      <w:tblPr>
        <w:tblStyle w:val="Style_6"/>
        <w:tblW w:w="9836" w:type="dxa"/>
        <w:jc w:val="left"/>
        <w:tblInd w:w="0" w:type="dxa"/>
        <w:tblCellMar>
          <w:top w:w="0" w:type="dxa"/>
          <w:left w:w="108" w:type="dxa"/>
          <w:bottom w:w="0" w:type="dxa"/>
          <w:right w:w="108" w:type="dxa"/>
        </w:tblCellMar>
      </w:tblPr>
      <w:tblGrid>
        <w:gridCol w:w="5308"/>
        <w:gridCol w:w="4527"/>
      </w:tblGrid>
      <w:tr>
        <w:trPr>
          <w:trHeight w:val="3408" w:hRule="atLeast"/>
        </w:trPr>
        <w:tc>
          <w:tcPr>
            <w:tcW w:w="5308" w:type="dxa"/>
            <w:tcBorders/>
            <w:shd w:fill="auto" w:val="clear"/>
          </w:tcPr>
          <w:p>
            <w:pPr>
              <w:pStyle w:val="Normal"/>
              <w:widowControl w:val="false"/>
              <w:ind w:left="0" w:right="-284" w:hanging="0"/>
              <w:jc w:val="both"/>
              <w:rPr>
                <w:b/>
                <w:b/>
              </w:rPr>
            </w:pPr>
            <w:r>
              <w:rPr>
                <w:b/>
              </w:rPr>
              <w:t>«Исполнитель»</w:t>
            </w:r>
          </w:p>
          <w:p>
            <w:pPr>
              <w:pStyle w:val="Normal"/>
              <w:widowControl w:val="false"/>
              <w:ind w:left="0" w:right="-284" w:hanging="0"/>
              <w:jc w:val="both"/>
              <w:rPr/>
            </w:pPr>
            <w:r>
              <w:rPr/>
            </w:r>
          </w:p>
          <w:p>
            <w:pPr>
              <w:pStyle w:val="Normal"/>
              <w:widowControl w:val="false"/>
              <w:tabs>
                <w:tab w:val="clear" w:pos="708"/>
                <w:tab w:val="left" w:pos="571" w:leader="none"/>
              </w:tabs>
              <w:jc w:val="both"/>
              <w:rPr>
                <w:b/>
                <w:b/>
                <w:color w:val="000000"/>
                <w:spacing w:val="-3"/>
                <w:sz w:val="24"/>
              </w:rPr>
            </w:pPr>
            <w:r>
              <w:rPr>
                <w:b/>
                <w:color w:val="000000"/>
                <w:spacing w:val="-3"/>
                <w:sz w:val="24"/>
              </w:rPr>
              <w:t>ФГКУ «ОВО ВНГ России по Камчатскому краю»</w:t>
            </w:r>
          </w:p>
          <w:p>
            <w:pPr>
              <w:pStyle w:val="Normal"/>
              <w:widowControl w:val="false"/>
              <w:tabs>
                <w:tab w:val="clear" w:pos="708"/>
                <w:tab w:val="left" w:pos="571" w:leader="none"/>
              </w:tabs>
              <w:jc w:val="both"/>
              <w:rPr/>
            </w:pPr>
            <w:r>
              <w:rPr>
                <w:color w:val="000000"/>
                <w:spacing w:val="-3"/>
                <w:sz w:val="24"/>
              </w:rPr>
              <w:t>683017</w:t>
            </w:r>
            <w:r>
              <w:rPr>
                <w:b/>
                <w:color w:val="000000"/>
                <w:spacing w:val="-3"/>
                <w:sz w:val="24"/>
              </w:rPr>
              <w:t xml:space="preserve"> </w:t>
            </w:r>
            <w:r>
              <w:rPr>
                <w:color w:val="000000"/>
                <w:spacing w:val="-3"/>
                <w:sz w:val="24"/>
              </w:rPr>
              <w:t>г. Петропавловск-Камчатский</w:t>
            </w:r>
          </w:p>
          <w:p>
            <w:pPr>
              <w:pStyle w:val="Normal"/>
              <w:widowControl w:val="false"/>
              <w:tabs>
                <w:tab w:val="clear" w:pos="708"/>
                <w:tab w:val="left" w:pos="571" w:leader="none"/>
              </w:tabs>
              <w:jc w:val="both"/>
              <w:rPr>
                <w:color w:val="000000"/>
                <w:spacing w:val="-3"/>
                <w:sz w:val="24"/>
              </w:rPr>
            </w:pPr>
            <w:r>
              <w:rPr>
                <w:color w:val="000000"/>
                <w:spacing w:val="-3"/>
                <w:sz w:val="24"/>
              </w:rPr>
              <w:t>ул. Владивостокская, 2/1</w:t>
            </w:r>
          </w:p>
          <w:p>
            <w:pPr>
              <w:pStyle w:val="Normal"/>
              <w:widowControl w:val="false"/>
              <w:tabs>
                <w:tab w:val="clear" w:pos="708"/>
                <w:tab w:val="left" w:pos="571" w:leader="none"/>
              </w:tabs>
              <w:jc w:val="both"/>
              <w:rPr>
                <w:color w:val="000000"/>
                <w:spacing w:val="-3"/>
                <w:sz w:val="24"/>
              </w:rPr>
            </w:pPr>
            <w:r>
              <w:rPr>
                <w:color w:val="000000"/>
                <w:spacing w:val="-3"/>
                <w:sz w:val="24"/>
              </w:rPr>
              <w:t>ОГРН 1124101006875</w:t>
            </w:r>
          </w:p>
          <w:p>
            <w:pPr>
              <w:pStyle w:val="Normal"/>
              <w:widowControl w:val="false"/>
              <w:tabs>
                <w:tab w:val="clear" w:pos="708"/>
                <w:tab w:val="left" w:pos="571" w:leader="none"/>
              </w:tabs>
              <w:rPr>
                <w:color w:val="000000"/>
                <w:spacing w:val="-3"/>
                <w:sz w:val="24"/>
              </w:rPr>
            </w:pPr>
            <w:r>
              <w:rPr>
                <w:color w:val="000000"/>
                <w:spacing w:val="-3"/>
                <w:sz w:val="24"/>
              </w:rPr>
              <w:t>ИНН 4101152751 КПП 410101001</w:t>
            </w:r>
          </w:p>
          <w:p>
            <w:pPr>
              <w:pStyle w:val="Normal"/>
              <w:widowControl w:val="false"/>
              <w:tabs>
                <w:tab w:val="clear" w:pos="708"/>
                <w:tab w:val="left" w:pos="571" w:leader="none"/>
              </w:tabs>
              <w:rPr>
                <w:color w:val="000000"/>
                <w:spacing w:val="-3"/>
                <w:sz w:val="24"/>
              </w:rPr>
            </w:pPr>
            <w:r>
              <w:rPr>
                <w:color w:val="000000"/>
                <w:spacing w:val="-3"/>
                <w:sz w:val="24"/>
              </w:rPr>
              <w:t>ЕКС 40102810945370000031   ОТДЕЛЕНИЕ ПЕТРОПАВЛОВСК-КАМЧАТСКИЙ БАНКА РОССИИ  // УФК по Камчатскому краю  г. Петропавловск-Камчатский</w:t>
            </w:r>
          </w:p>
          <w:p>
            <w:pPr>
              <w:pStyle w:val="Normal"/>
              <w:widowControl w:val="false"/>
              <w:tabs>
                <w:tab w:val="clear" w:pos="708"/>
                <w:tab w:val="left" w:pos="571" w:leader="none"/>
              </w:tabs>
              <w:rPr>
                <w:color w:val="000000"/>
                <w:spacing w:val="-3"/>
                <w:sz w:val="24"/>
              </w:rPr>
            </w:pPr>
            <w:r>
              <w:rPr>
                <w:color w:val="000000"/>
                <w:spacing w:val="-3"/>
                <w:sz w:val="24"/>
              </w:rPr>
              <w:t>БИК 013002402</w:t>
            </w:r>
          </w:p>
          <w:p>
            <w:pPr>
              <w:pStyle w:val="Normal"/>
              <w:widowControl w:val="false"/>
              <w:tabs>
                <w:tab w:val="clear" w:pos="708"/>
                <w:tab w:val="left" w:pos="571" w:leader="none"/>
              </w:tabs>
              <w:rPr>
                <w:color w:val="000000"/>
                <w:spacing w:val="-3"/>
                <w:sz w:val="24"/>
              </w:rPr>
            </w:pPr>
            <w:r>
              <w:rPr>
                <w:color w:val="000000"/>
                <w:spacing w:val="-3"/>
                <w:sz w:val="24"/>
              </w:rPr>
              <w:t>Казначейский счет 03100643000000013800</w:t>
            </w:r>
          </w:p>
          <w:p>
            <w:pPr>
              <w:pStyle w:val="Normal"/>
              <w:widowControl w:val="false"/>
              <w:tabs>
                <w:tab w:val="clear" w:pos="708"/>
                <w:tab w:val="left" w:pos="571" w:leader="none"/>
              </w:tabs>
              <w:rPr/>
            </w:pPr>
            <w:r>
              <w:rPr>
                <w:color w:val="000000"/>
                <w:spacing w:val="-3"/>
                <w:sz w:val="24"/>
              </w:rPr>
              <w:t>(ФГКУ «ОВО ВНГ России по Камчатскому краю», л/сч. 04381D11810)</w:t>
            </w:r>
          </w:p>
          <w:p>
            <w:pPr>
              <w:pStyle w:val="Normal"/>
              <w:widowControl w:val="false"/>
              <w:tabs>
                <w:tab w:val="clear" w:pos="708"/>
                <w:tab w:val="left" w:pos="571" w:leader="none"/>
              </w:tabs>
              <w:rPr>
                <w:color w:val="000000"/>
                <w:spacing w:val="-3"/>
                <w:sz w:val="24"/>
              </w:rPr>
            </w:pPr>
            <w:r>
              <w:rPr>
                <w:color w:val="000000"/>
                <w:spacing w:val="-3"/>
                <w:sz w:val="24"/>
              </w:rPr>
              <w:t>КБК 18011301081017000130</w:t>
            </w:r>
          </w:p>
          <w:p>
            <w:pPr>
              <w:pStyle w:val="Normal"/>
              <w:widowControl w:val="false"/>
              <w:tabs>
                <w:tab w:val="clear" w:pos="708"/>
                <w:tab w:val="left" w:pos="571" w:leader="none"/>
              </w:tabs>
              <w:rPr>
                <w:color w:val="000000"/>
                <w:spacing w:val="-3"/>
                <w:sz w:val="24"/>
              </w:rPr>
            </w:pPr>
            <w:r>
              <w:rPr>
                <w:color w:val="000000"/>
                <w:spacing w:val="-3"/>
                <w:sz w:val="24"/>
              </w:rPr>
              <w:t>Тел/факс:  26-53-26 – приемная,</w:t>
            </w:r>
          </w:p>
          <w:p>
            <w:pPr>
              <w:pStyle w:val="Normal"/>
              <w:widowControl w:val="false"/>
              <w:tabs>
                <w:tab w:val="clear" w:pos="708"/>
                <w:tab w:val="left" w:pos="571" w:leader="none"/>
              </w:tabs>
              <w:rPr/>
            </w:pPr>
            <w:r>
              <w:rPr>
                <w:sz w:val="24"/>
              </w:rPr>
              <w:t>e-mail: odpr.ovo@bk.ru</w:t>
            </w:r>
          </w:p>
          <w:p>
            <w:pPr>
              <w:pStyle w:val="Normal"/>
              <w:widowControl w:val="false"/>
              <w:tabs>
                <w:tab w:val="clear" w:pos="708"/>
                <w:tab w:val="left" w:pos="571" w:leader="none"/>
              </w:tabs>
              <w:rPr>
                <w:color w:val="000000"/>
                <w:spacing w:val="-3"/>
                <w:sz w:val="24"/>
              </w:rPr>
            </w:pPr>
            <w:r>
              <w:rPr>
                <w:color w:val="000000"/>
                <w:spacing w:val="-3"/>
                <w:sz w:val="24"/>
              </w:rPr>
              <w:t>26-51-96 – бух. 23-35-92 – договорной</w:t>
            </w:r>
          </w:p>
          <w:p>
            <w:pPr>
              <w:pStyle w:val="Normal"/>
              <w:widowControl w:val="false"/>
              <w:tabs>
                <w:tab w:val="clear" w:pos="708"/>
                <w:tab w:val="left" w:pos="571" w:leader="none"/>
              </w:tabs>
              <w:rPr>
                <w:color w:val="000000"/>
                <w:spacing w:val="-3"/>
                <w:sz w:val="24"/>
              </w:rPr>
            </w:pPr>
            <w:r>
              <w:rPr>
                <w:color w:val="000000"/>
                <w:spacing w:val="-3"/>
                <w:sz w:val="24"/>
              </w:rPr>
            </w:r>
          </w:p>
          <w:p>
            <w:pPr>
              <w:pStyle w:val="Normal"/>
              <w:widowControl w:val="false"/>
              <w:tabs>
                <w:tab w:val="clear" w:pos="708"/>
                <w:tab w:val="left" w:pos="571" w:leader="none"/>
              </w:tabs>
              <w:rPr>
                <w:color w:val="000000"/>
                <w:spacing w:val="-3"/>
                <w:sz w:val="24"/>
              </w:rPr>
            </w:pPr>
            <w:r>
              <w:rPr>
                <w:color w:val="000000"/>
                <w:spacing w:val="-3"/>
                <w:sz w:val="24"/>
              </w:rPr>
            </w:r>
          </w:p>
          <w:p>
            <w:pPr>
              <w:pStyle w:val="Normal"/>
              <w:widowControl w:val="false"/>
              <w:tabs>
                <w:tab w:val="clear" w:pos="708"/>
                <w:tab w:val="left" w:pos="571" w:leader="none"/>
              </w:tabs>
              <w:rPr>
                <w:color w:val="000000"/>
                <w:spacing w:val="-3"/>
                <w:sz w:val="24"/>
              </w:rPr>
            </w:pPr>
            <w:r>
              <w:rPr>
                <w:color w:val="000000"/>
                <w:spacing w:val="-3"/>
                <w:sz w:val="24"/>
              </w:rPr>
              <w:t>_______________________Я.К. Воронин</w:t>
            </w:r>
          </w:p>
          <w:p>
            <w:pPr>
              <w:pStyle w:val="Normal"/>
              <w:widowControl w:val="false"/>
              <w:tabs>
                <w:tab w:val="clear" w:pos="708"/>
                <w:tab w:val="left" w:pos="571" w:leader="none"/>
              </w:tabs>
              <w:jc w:val="both"/>
              <w:rPr>
                <w:color w:val="000000"/>
                <w:spacing w:val="-3"/>
                <w:sz w:val="22"/>
              </w:rPr>
            </w:pPr>
            <w:r>
              <w:rPr>
                <w:b w:val="false"/>
                <w:color w:val="000000"/>
                <w:spacing w:val="-3"/>
                <w:sz w:val="22"/>
              </w:rPr>
              <w:t>М.П.</w:t>
            </w:r>
          </w:p>
        </w:tc>
        <w:tc>
          <w:tcPr>
            <w:tcW w:w="4527" w:type="dxa"/>
            <w:tcBorders/>
            <w:shd w:fill="auto" w:val="clear"/>
          </w:tcPr>
          <w:p>
            <w:pPr>
              <w:pStyle w:val="Normal"/>
              <w:tabs>
                <w:tab w:val="clear" w:pos="708"/>
                <w:tab w:val="left" w:pos="571" w:leader="none"/>
              </w:tabs>
              <w:jc w:val="center"/>
              <w:rPr/>
            </w:pPr>
            <w:r>
              <w:rPr>
                <w:b/>
                <w:color w:val="000000"/>
                <w:spacing w:val="-3"/>
                <w:sz w:val="26"/>
              </w:rPr>
              <w:t>«Заказчик»</w:t>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b/>
                <w:b/>
                <w:sz w:val="26"/>
              </w:rPr>
            </w:pPr>
            <w:r>
              <w:rPr>
                <w:b/>
                <w:sz w:val="26"/>
              </w:rPr>
            </w:r>
          </w:p>
          <w:p>
            <w:pPr>
              <w:pStyle w:val="Normal"/>
              <w:tabs>
                <w:tab w:val="clear" w:pos="708"/>
                <w:tab w:val="left" w:pos="571" w:leader="none"/>
              </w:tabs>
              <w:rPr>
                <w:sz w:val="26"/>
              </w:rPr>
            </w:pPr>
            <w:r>
              <w:rPr>
                <w:sz w:val="26"/>
              </w:rPr>
            </w:r>
          </w:p>
          <w:p>
            <w:pPr>
              <w:pStyle w:val="Normal"/>
              <w:tabs>
                <w:tab w:val="clear" w:pos="708"/>
                <w:tab w:val="left" w:pos="571" w:leader="none"/>
              </w:tabs>
              <w:rPr>
                <w:spacing w:val="-3"/>
                <w:sz w:val="26"/>
              </w:rPr>
            </w:pPr>
            <w:r>
              <w:rPr>
                <w:spacing w:val="-3"/>
                <w:sz w:val="26"/>
              </w:rPr>
            </w:r>
          </w:p>
          <w:p>
            <w:pPr>
              <w:pStyle w:val="Normal"/>
              <w:tabs>
                <w:tab w:val="clear" w:pos="708"/>
                <w:tab w:val="left" w:pos="571" w:leader="none"/>
              </w:tabs>
              <w:rPr/>
            </w:pPr>
            <w:r>
              <w:rPr>
                <w:spacing w:val="-3"/>
                <w:sz w:val="26"/>
              </w:rPr>
              <w:t>______________________</w:t>
            </w:r>
          </w:p>
          <w:p>
            <w:pPr>
              <w:pStyle w:val="Normal"/>
              <w:tabs>
                <w:tab w:val="clear" w:pos="708"/>
                <w:tab w:val="left" w:pos="571" w:leader="none"/>
              </w:tabs>
              <w:rPr>
                <w:spacing w:val="-3"/>
                <w:sz w:val="26"/>
              </w:rPr>
            </w:pPr>
            <w:r>
              <w:rPr>
                <w:spacing w:val="-3"/>
                <w:sz w:val="26"/>
              </w:rPr>
              <w:t>М.П.</w:t>
            </w:r>
          </w:p>
        </w:tc>
      </w:tr>
    </w:tbl>
    <w:p>
      <w:pPr>
        <w:pStyle w:val="Normal"/>
        <w:rPr/>
      </w:pPr>
      <w:r>
        <w:rPr/>
      </w:r>
    </w:p>
    <w:p>
      <w:pPr>
        <w:pStyle w:val="Normal"/>
        <w:rPr/>
      </w:pPr>
      <w:r>
        <w:rPr/>
      </w:r>
    </w:p>
    <w:p>
      <w:pPr>
        <w:pStyle w:val="Normal"/>
        <w:rPr/>
      </w:pPr>
      <w:r>
        <w:rPr/>
      </w:r>
    </w:p>
    <w:p>
      <w:pPr>
        <w:pStyle w:val="Normal"/>
        <w:rPr>
          <w:sz w:val="24"/>
          <w:szCs w:val="24"/>
          <w:lang w:eastAsia="ru-RU"/>
        </w:rPr>
      </w:pPr>
      <w:r>
        <w:rPr>
          <w:sz w:val="24"/>
          <w:szCs w:val="24"/>
          <w:lang w:eastAsia="ru-RU"/>
        </w:rPr>
      </w:r>
    </w:p>
    <w:p>
      <w:pPr>
        <w:pStyle w:val="Normal"/>
        <w:rPr>
          <w:sz w:val="24"/>
          <w:szCs w:val="24"/>
          <w:lang w:eastAsia="ru-RU"/>
        </w:rPr>
      </w:pPr>
      <w:r>
        <w:rPr>
          <w:sz w:val="24"/>
          <w:szCs w:val="24"/>
          <w:lang w:eastAsia="ru-RU"/>
        </w:rPr>
      </w:r>
    </w:p>
    <w:p>
      <w:pPr>
        <w:pStyle w:val="Normal"/>
        <w:rPr>
          <w:sz w:val="24"/>
          <w:szCs w:val="24"/>
          <w:lang w:eastAsia="ru-RU"/>
        </w:rPr>
      </w:pPr>
      <w:r>
        <w:rPr>
          <w:sz w:val="24"/>
          <w:szCs w:val="24"/>
          <w:lang w:eastAsia="ru-RU"/>
        </w:rPr>
      </w:r>
    </w:p>
    <w:p>
      <w:pPr>
        <w:pStyle w:val="Normal"/>
        <w:rPr>
          <w:sz w:val="24"/>
          <w:szCs w:val="24"/>
          <w:lang w:eastAsia="ru-RU"/>
        </w:rPr>
      </w:pPr>
      <w:r>
        <w:rPr>
          <w:sz w:val="24"/>
          <w:szCs w:val="24"/>
          <w:lang w:eastAsia="ru-RU"/>
        </w:rPr>
      </w:r>
    </w:p>
    <w:p>
      <w:pPr>
        <w:pStyle w:val="Normal"/>
        <w:rPr>
          <w:sz w:val="24"/>
          <w:szCs w:val="24"/>
          <w:lang w:eastAsia="ru-RU"/>
        </w:rPr>
      </w:pPr>
      <w:r>
        <w:rPr>
          <w:sz w:val="24"/>
          <w:szCs w:val="24"/>
          <w:lang w:eastAsia="ru-RU"/>
        </w:rPr>
      </w:r>
    </w:p>
    <w:p>
      <w:pPr>
        <w:pStyle w:val="Normal"/>
        <w:rPr>
          <w:sz w:val="24"/>
          <w:szCs w:val="24"/>
          <w:lang w:eastAsia="ru-RU"/>
        </w:rPr>
      </w:pPr>
      <w:r>
        <w:rPr/>
      </w:r>
    </w:p>
    <w:p>
      <w:pPr>
        <w:pStyle w:val="Normal"/>
        <w:rPr/>
      </w:pPr>
      <w:r>
        <w:rPr/>
      </w:r>
    </w:p>
    <w:p>
      <w:pPr>
        <w:pStyle w:val="Normal"/>
        <w:widowControl w:val="false"/>
        <w:suppressAutoHyphens w:val="true"/>
        <w:bidi w:val="0"/>
        <w:ind w:left="0" w:right="0" w:hanging="0"/>
        <w:jc w:val="both"/>
        <w:rPr/>
      </w:pPr>
      <w:r>
        <w:rPr>
          <w:sz w:val="24"/>
          <w:szCs w:val="24"/>
          <w:lang w:eastAsia="ru-RU"/>
        </w:rPr>
        <w:t xml:space="preserve">                                                                                                                </w:t>
      </w:r>
      <w:r>
        <w:rPr>
          <w:sz w:val="24"/>
          <w:szCs w:val="24"/>
          <w:lang w:eastAsia="ru-RU"/>
        </w:rPr>
        <w:t>Приложение № 1</w:t>
      </w:r>
    </w:p>
    <w:p>
      <w:pPr>
        <w:pStyle w:val="Normal"/>
        <w:widowControl w:val="false"/>
        <w:suppressAutoHyphens w:val="true"/>
        <w:bidi w:val="0"/>
        <w:ind w:left="0" w:right="0" w:hanging="0"/>
        <w:jc w:val="both"/>
        <w:rPr/>
      </w:pPr>
      <w:r>
        <w:rPr>
          <w:sz w:val="24"/>
          <w:szCs w:val="24"/>
          <w:lang w:eastAsia="ru-RU"/>
        </w:rPr>
        <w:t xml:space="preserve">                                                               </w:t>
      </w:r>
      <w:r>
        <w:rPr>
          <w:sz w:val="24"/>
          <w:szCs w:val="24"/>
          <w:lang w:eastAsia="ru-RU"/>
        </w:rPr>
        <w:t xml:space="preserve">к договору  № </w:t>
      </w:r>
      <w:r>
        <w:rPr>
          <w:rFonts w:eastAsia="Times New Roman" w:cs="Times New Roman"/>
          <w:color w:val="auto"/>
          <w:sz w:val="24"/>
          <w:szCs w:val="24"/>
          <w:lang w:val="ru-RU" w:eastAsia="ru-RU" w:bidi="ar-SA"/>
        </w:rPr>
        <w:t xml:space="preserve"> </w:t>
      </w:r>
      <w:r>
        <w:rPr>
          <w:sz w:val="24"/>
          <w:szCs w:val="24"/>
          <w:lang w:eastAsia="ru-RU"/>
        </w:rPr>
        <w:t>от «___»______________</w:t>
      </w:r>
      <w:r>
        <w:rPr>
          <w:rFonts w:eastAsia="Times New Roman" w:cs="Times New Roman"/>
          <w:color w:val="auto"/>
          <w:sz w:val="24"/>
          <w:szCs w:val="24"/>
          <w:lang w:val="ru-RU" w:eastAsia="ru-RU" w:bidi="ar-SA"/>
        </w:rPr>
        <w:t xml:space="preserve"> </w:t>
      </w:r>
      <w:r>
        <w:rPr>
          <w:sz w:val="24"/>
          <w:szCs w:val="24"/>
          <w:lang w:eastAsia="ru-RU"/>
        </w:rPr>
        <w:t>г.</w:t>
      </w:r>
    </w:p>
    <w:p>
      <w:pPr>
        <w:pStyle w:val="Normal"/>
        <w:widowControl w:val="false"/>
        <w:jc w:val="both"/>
        <w:rPr>
          <w:sz w:val="24"/>
          <w:szCs w:val="24"/>
          <w:lang w:eastAsia="ru-RU"/>
        </w:rPr>
      </w:pPr>
      <w:r>
        <w:rPr>
          <w:sz w:val="24"/>
          <w:szCs w:val="24"/>
          <w:lang w:eastAsia="ru-RU"/>
        </w:rPr>
      </w:r>
    </w:p>
    <w:p>
      <w:pPr>
        <w:pStyle w:val="Normal"/>
        <w:widowControl w:val="false"/>
        <w:jc w:val="both"/>
        <w:rPr>
          <w:b/>
          <w:b/>
          <w:sz w:val="24"/>
          <w:szCs w:val="24"/>
          <w:lang w:eastAsia="ru-RU"/>
        </w:rPr>
      </w:pPr>
      <w:r>
        <w:rPr>
          <w:b/>
          <w:sz w:val="24"/>
          <w:szCs w:val="24"/>
          <w:lang w:eastAsia="ru-RU"/>
        </w:rPr>
      </w:r>
    </w:p>
    <w:p>
      <w:pPr>
        <w:pStyle w:val="Normal"/>
        <w:widowControl w:val="false"/>
        <w:ind w:left="-284" w:right="0" w:hanging="0"/>
        <w:jc w:val="center"/>
        <w:rPr>
          <w:b/>
          <w:b/>
          <w:color w:val="000000"/>
          <w:sz w:val="24"/>
          <w:szCs w:val="24"/>
          <w:lang w:eastAsia="ar-SA"/>
        </w:rPr>
      </w:pPr>
      <w:r>
        <w:rPr>
          <w:b/>
          <w:color w:val="000000"/>
          <w:sz w:val="24"/>
          <w:szCs w:val="24"/>
          <w:lang w:eastAsia="ar-SA"/>
        </w:rPr>
        <w:t>Перечень объектов и стоимость оказываемых услуг с   01.01.2025</w:t>
      </w:r>
    </w:p>
    <w:p>
      <w:pPr>
        <w:pStyle w:val="Normal"/>
        <w:widowControl w:val="false"/>
        <w:ind w:left="-284" w:right="0" w:hanging="0"/>
        <w:jc w:val="both"/>
        <w:rPr>
          <w:b/>
          <w:b/>
          <w:color w:val="000000"/>
          <w:sz w:val="24"/>
          <w:szCs w:val="24"/>
          <w:lang w:eastAsia="ru-RU"/>
        </w:rPr>
      </w:pPr>
      <w:r>
        <w:rPr>
          <w:b/>
          <w:color w:val="000000"/>
          <w:sz w:val="24"/>
          <w:szCs w:val="24"/>
          <w:lang w:eastAsia="ru-RU"/>
        </w:rPr>
      </w:r>
    </w:p>
    <w:tbl>
      <w:tblPr>
        <w:tblW w:w="10366" w:type="dxa"/>
        <w:jc w:val="left"/>
        <w:tblInd w:w="-300" w:type="dxa"/>
        <w:tblCellMar>
          <w:top w:w="0" w:type="dxa"/>
          <w:left w:w="108" w:type="dxa"/>
          <w:bottom w:w="0" w:type="dxa"/>
          <w:right w:w="108" w:type="dxa"/>
        </w:tblCellMar>
      </w:tblPr>
      <w:tblGrid>
        <w:gridCol w:w="824"/>
        <w:gridCol w:w="327"/>
        <w:gridCol w:w="1152"/>
        <w:gridCol w:w="509"/>
        <w:gridCol w:w="643"/>
        <w:gridCol w:w="1151"/>
        <w:gridCol w:w="906"/>
        <w:gridCol w:w="246"/>
        <w:gridCol w:w="891"/>
        <w:gridCol w:w="1915"/>
        <w:gridCol w:w="1613"/>
        <w:gridCol w:w="51"/>
        <w:gridCol w:w="60"/>
        <w:gridCol w:w="77"/>
      </w:tblGrid>
      <w:tr>
        <w:trPr>
          <w:trHeight w:val="334" w:hRule="atLeast"/>
        </w:trPr>
        <w:tc>
          <w:tcPr>
            <w:tcW w:w="1151" w:type="dxa"/>
            <w:gridSpan w:val="2"/>
            <w:tcBorders>
              <w:top w:val="single" w:sz="8" w:space="0" w:color="000000"/>
              <w:left w:val="single" w:sz="8" w:space="0" w:color="000000"/>
              <w:bottom w:val="single" w:sz="8" w:space="0" w:color="000000"/>
            </w:tcBorders>
            <w:vAlign w:val="center"/>
          </w:tcPr>
          <w:p>
            <w:pPr>
              <w:pStyle w:val="Normal"/>
              <w:jc w:val="both"/>
              <w:rPr>
                <w:b/>
                <w:b/>
                <w:bCs/>
                <w:sz w:val="24"/>
                <w:szCs w:val="24"/>
                <w:lang w:eastAsia="ru-RU"/>
              </w:rPr>
            </w:pPr>
            <w:r>
              <w:rPr>
                <w:b/>
                <w:bCs/>
                <w:sz w:val="24"/>
                <w:szCs w:val="24"/>
                <w:lang w:eastAsia="ru-RU"/>
              </w:rPr>
              <w:t>№</w:t>
            </w:r>
          </w:p>
        </w:tc>
        <w:tc>
          <w:tcPr>
            <w:tcW w:w="1152" w:type="dxa"/>
            <w:tcBorders>
              <w:top w:val="single" w:sz="8" w:space="0" w:color="000000"/>
              <w:left w:val="single" w:sz="4" w:space="0" w:color="000000"/>
              <w:bottom w:val="single" w:sz="8" w:space="0" w:color="000000"/>
            </w:tcBorders>
            <w:vAlign w:val="center"/>
          </w:tcPr>
          <w:p>
            <w:pPr>
              <w:pStyle w:val="Normal"/>
              <w:jc w:val="both"/>
              <w:rPr>
                <w:b/>
                <w:b/>
                <w:bCs/>
                <w:sz w:val="24"/>
                <w:szCs w:val="24"/>
                <w:lang w:eastAsia="ru-RU"/>
              </w:rPr>
            </w:pPr>
            <w:r>
              <w:rPr>
                <w:b/>
                <w:bCs/>
                <w:sz w:val="24"/>
                <w:szCs w:val="24"/>
                <w:lang w:eastAsia="ru-RU"/>
              </w:rPr>
              <w:t>Наименование объекта</w:t>
            </w:r>
          </w:p>
        </w:tc>
        <w:tc>
          <w:tcPr>
            <w:tcW w:w="1152" w:type="dxa"/>
            <w:gridSpan w:val="2"/>
            <w:tcBorders>
              <w:top w:val="single" w:sz="8" w:space="0" w:color="000000"/>
              <w:left w:val="single" w:sz="4" w:space="0" w:color="000000"/>
              <w:bottom w:val="single" w:sz="8" w:space="0" w:color="000000"/>
            </w:tcBorders>
            <w:vAlign w:val="center"/>
          </w:tcPr>
          <w:p>
            <w:pPr>
              <w:pStyle w:val="Normal"/>
              <w:jc w:val="both"/>
              <w:rPr>
                <w:b/>
                <w:b/>
                <w:bCs/>
                <w:sz w:val="24"/>
                <w:szCs w:val="24"/>
                <w:lang w:eastAsia="ru-RU"/>
              </w:rPr>
            </w:pPr>
            <w:r>
              <w:rPr>
                <w:b/>
                <w:bCs/>
                <w:sz w:val="24"/>
                <w:szCs w:val="24"/>
                <w:lang w:eastAsia="ru-RU"/>
              </w:rPr>
              <w:t>Гос. номер</w:t>
            </w:r>
          </w:p>
        </w:tc>
        <w:tc>
          <w:tcPr>
            <w:tcW w:w="1151" w:type="dxa"/>
            <w:tcBorders>
              <w:top w:val="single" w:sz="8" w:space="0" w:color="000000"/>
              <w:left w:val="single" w:sz="4" w:space="0" w:color="000000"/>
              <w:bottom w:val="single" w:sz="8" w:space="0" w:color="000000"/>
            </w:tcBorders>
            <w:vAlign w:val="center"/>
          </w:tcPr>
          <w:p>
            <w:pPr>
              <w:pStyle w:val="Normal"/>
              <w:jc w:val="both"/>
              <w:rPr>
                <w:b/>
                <w:b/>
                <w:bCs/>
                <w:sz w:val="24"/>
                <w:szCs w:val="24"/>
                <w:lang w:eastAsia="ru-RU"/>
              </w:rPr>
            </w:pPr>
            <w:r>
              <w:rPr>
                <w:b/>
                <w:bCs/>
                <w:sz w:val="24"/>
                <w:szCs w:val="24"/>
                <w:lang w:eastAsia="ru-RU"/>
              </w:rPr>
              <w:t>Вид охраны</w:t>
            </w:r>
          </w:p>
        </w:tc>
        <w:tc>
          <w:tcPr>
            <w:tcW w:w="1152" w:type="dxa"/>
            <w:gridSpan w:val="2"/>
            <w:tcBorders>
              <w:top w:val="single" w:sz="8" w:space="0" w:color="000000"/>
              <w:left w:val="single" w:sz="4" w:space="0" w:color="000000"/>
              <w:bottom w:val="single" w:sz="8" w:space="0" w:color="000000"/>
            </w:tcBorders>
            <w:vAlign w:val="center"/>
          </w:tcPr>
          <w:p>
            <w:pPr>
              <w:pStyle w:val="Normal"/>
              <w:jc w:val="both"/>
              <w:rPr>
                <w:b/>
                <w:b/>
                <w:bCs/>
                <w:sz w:val="24"/>
                <w:szCs w:val="24"/>
                <w:lang w:eastAsia="ru-RU"/>
              </w:rPr>
            </w:pPr>
            <w:r>
              <w:rPr>
                <w:b/>
                <w:bCs/>
                <w:sz w:val="24"/>
                <w:szCs w:val="24"/>
                <w:lang w:eastAsia="ru-RU"/>
              </w:rPr>
              <w:t>Вид услуги</w:t>
            </w:r>
          </w:p>
        </w:tc>
        <w:tc>
          <w:tcPr>
            <w:tcW w:w="4607" w:type="dxa"/>
            <w:gridSpan w:val="6"/>
            <w:tcBorders>
              <w:top w:val="single" w:sz="8" w:space="0" w:color="000000"/>
              <w:left w:val="single" w:sz="4" w:space="0" w:color="000000"/>
              <w:bottom w:val="single" w:sz="8" w:space="0" w:color="000000"/>
              <w:right w:val="single" w:sz="8" w:space="0" w:color="000000"/>
            </w:tcBorders>
            <w:vAlign w:val="center"/>
          </w:tcPr>
          <w:p>
            <w:pPr>
              <w:pStyle w:val="Normal"/>
              <w:jc w:val="both"/>
              <w:rPr>
                <w:b/>
                <w:b/>
                <w:bCs/>
                <w:sz w:val="24"/>
                <w:szCs w:val="24"/>
                <w:lang w:eastAsia="ru-RU"/>
              </w:rPr>
            </w:pPr>
            <w:r>
              <w:rPr>
                <w:b/>
                <w:bCs/>
                <w:sz w:val="24"/>
                <w:szCs w:val="24"/>
                <w:lang w:eastAsia="ru-RU"/>
              </w:rPr>
              <w:t xml:space="preserve">Стоимость в месяц, рублей   НДС не облагается </w:t>
            </w:r>
          </w:p>
        </w:tc>
      </w:tr>
      <w:tr>
        <w:trPr>
          <w:trHeight w:val="570" w:hRule="atLeast"/>
        </w:trPr>
        <w:tc>
          <w:tcPr>
            <w:tcW w:w="824" w:type="dxa"/>
            <w:tcBorders>
              <w:top w:val="single" w:sz="4" w:space="0" w:color="000000"/>
              <w:left w:val="single" w:sz="4" w:space="0" w:color="000000"/>
              <w:bottom w:val="single" w:sz="8" w:space="0" w:color="000000"/>
            </w:tcBorders>
            <w:tcMar>
              <w:left w:w="0" w:type="dxa"/>
              <w:right w:w="0" w:type="dxa"/>
            </w:tcMar>
            <w:vAlign w:val="center"/>
          </w:tcPr>
          <w:p>
            <w:pPr>
              <w:pStyle w:val="Normal"/>
              <w:jc w:val="both"/>
              <w:rPr>
                <w:bCs/>
                <w:sz w:val="24"/>
                <w:szCs w:val="24"/>
                <w:lang w:eastAsia="ru-RU"/>
              </w:rPr>
            </w:pPr>
            <w:r>
              <w:rPr>
                <w:bCs/>
                <w:sz w:val="24"/>
                <w:szCs w:val="24"/>
                <w:lang w:eastAsia="ru-RU"/>
              </w:rPr>
              <w:t>1</w:t>
            </w:r>
          </w:p>
        </w:tc>
        <w:tc>
          <w:tcPr>
            <w:tcW w:w="1988" w:type="dxa"/>
            <w:gridSpan w:val="3"/>
            <w:tcBorders>
              <w:left w:val="single" w:sz="4" w:space="0" w:color="000000"/>
              <w:bottom w:val="single" w:sz="4" w:space="0" w:color="000000"/>
            </w:tcBorders>
            <w:tcMar>
              <w:left w:w="0" w:type="dxa"/>
              <w:right w:w="0" w:type="dxa"/>
            </w:tcMar>
            <w:vAlign w:val="center"/>
          </w:tcPr>
          <w:p>
            <w:pPr>
              <w:pStyle w:val="Normal"/>
              <w:jc w:val="both"/>
              <w:rPr>
                <w:rFonts w:eastAsia="Times New Roman" w:cs="Times New Roman"/>
                <w:bCs/>
                <w:color w:val="auto"/>
                <w:sz w:val="24"/>
                <w:szCs w:val="24"/>
                <w:lang w:val="ru-RU" w:eastAsia="ru-RU" w:bidi="ar-SA"/>
              </w:rPr>
            </w:pPr>
            <w:r>
              <w:rPr>
                <w:rFonts w:eastAsia="Times New Roman" w:cs="Times New Roman"/>
                <w:bCs/>
                <w:color w:val="auto"/>
                <w:sz w:val="24"/>
                <w:szCs w:val="24"/>
                <w:lang w:val="ru-RU" w:eastAsia="ru-RU" w:bidi="ar-SA"/>
              </w:rPr>
              <w:t xml:space="preserve">Автобус ПАЗ </w:t>
            </w:r>
          </w:p>
          <w:p>
            <w:pPr>
              <w:pStyle w:val="Normal"/>
              <w:jc w:val="both"/>
              <w:rPr>
                <w:rFonts w:eastAsia="Times New Roman" w:cs="Times New Roman"/>
                <w:bCs/>
                <w:color w:val="auto"/>
                <w:sz w:val="24"/>
                <w:szCs w:val="24"/>
                <w:lang w:val="ru-RU" w:eastAsia="ru-RU" w:bidi="ar-SA"/>
              </w:rPr>
            </w:pPr>
            <w:r>
              <w:rPr>
                <w:rFonts w:eastAsia="Times New Roman" w:cs="Times New Roman"/>
                <w:bCs/>
                <w:color w:val="auto"/>
                <w:sz w:val="24"/>
                <w:szCs w:val="24"/>
                <w:lang w:val="ru-RU" w:eastAsia="ru-RU" w:bidi="ar-SA"/>
              </w:rPr>
              <w:t>4234-70-04</w:t>
            </w:r>
          </w:p>
        </w:tc>
        <w:tc>
          <w:tcPr>
            <w:tcW w:w="2700" w:type="dxa"/>
            <w:gridSpan w:val="3"/>
            <w:tcBorders>
              <w:left w:val="single" w:sz="4" w:space="0" w:color="000000"/>
              <w:bottom w:val="single" w:sz="4" w:space="0" w:color="000000"/>
            </w:tcBorders>
            <w:tcMar>
              <w:left w:w="0" w:type="dxa"/>
              <w:right w:w="0" w:type="dxa"/>
            </w:tcMar>
            <w:vAlign w:val="center"/>
          </w:tcPr>
          <w:p>
            <w:pPr>
              <w:pStyle w:val="Normal"/>
              <w:jc w:val="both"/>
              <w:rPr>
                <w:bCs/>
                <w:sz w:val="24"/>
                <w:szCs w:val="24"/>
                <w:lang w:eastAsia="ru-RU"/>
              </w:rPr>
            </w:pPr>
            <w:r>
              <w:rPr>
                <w:bCs/>
                <w:sz w:val="24"/>
                <w:szCs w:val="24"/>
                <w:lang w:eastAsia="ru-RU"/>
              </w:rPr>
            </w:r>
          </w:p>
        </w:tc>
        <w:tc>
          <w:tcPr>
            <w:tcW w:w="1137" w:type="dxa"/>
            <w:gridSpan w:val="2"/>
            <w:tcBorders>
              <w:left w:val="single" w:sz="4" w:space="0" w:color="000000"/>
              <w:bottom w:val="single" w:sz="4" w:space="0" w:color="000000"/>
            </w:tcBorders>
            <w:tcMar>
              <w:left w:w="0" w:type="dxa"/>
              <w:right w:w="0" w:type="dxa"/>
            </w:tcMar>
            <w:vAlign w:val="center"/>
          </w:tcPr>
          <w:p>
            <w:pPr>
              <w:pStyle w:val="Normal"/>
              <w:jc w:val="both"/>
              <w:rPr>
                <w:rFonts w:eastAsia="Times New Roman" w:cs="Times New Roman"/>
                <w:bCs/>
                <w:color w:val="auto"/>
                <w:sz w:val="24"/>
                <w:szCs w:val="24"/>
                <w:lang w:val="ru-RU" w:eastAsia="ru-RU" w:bidi="ar-SA"/>
              </w:rPr>
            </w:pPr>
            <w:r>
              <w:rPr>
                <w:rFonts w:eastAsia="Times New Roman" w:cs="Times New Roman"/>
                <w:bCs/>
                <w:color w:val="auto"/>
                <w:sz w:val="24"/>
                <w:szCs w:val="24"/>
                <w:lang w:val="ru-RU" w:eastAsia="ru-RU" w:bidi="ar-SA"/>
              </w:rPr>
              <w:t>ТС- GSM</w:t>
            </w:r>
          </w:p>
        </w:tc>
        <w:tc>
          <w:tcPr>
            <w:tcW w:w="1915" w:type="dxa"/>
            <w:tcBorders>
              <w:left w:val="single" w:sz="4" w:space="0" w:color="000000"/>
              <w:bottom w:val="single" w:sz="4" w:space="0" w:color="000000"/>
            </w:tcBorders>
            <w:tcMar>
              <w:left w:w="0" w:type="dxa"/>
              <w:right w:w="0" w:type="dxa"/>
            </w:tcMar>
            <w:vAlign w:val="center"/>
          </w:tcPr>
          <w:p>
            <w:pPr>
              <w:pStyle w:val="Normal"/>
              <w:jc w:val="both"/>
              <w:rPr>
                <w:rFonts w:eastAsia="Times New Roman" w:cs="Times New Roman"/>
                <w:bCs/>
                <w:color w:val="auto"/>
                <w:sz w:val="24"/>
                <w:szCs w:val="24"/>
                <w:lang w:val="ru-RU" w:eastAsia="ru-RU" w:bidi="ar-SA"/>
              </w:rPr>
            </w:pPr>
            <w:r>
              <w:rPr>
                <w:rFonts w:eastAsia="Times New Roman" w:cs="Times New Roman"/>
                <w:bCs/>
                <w:color w:val="auto"/>
                <w:sz w:val="24"/>
                <w:szCs w:val="24"/>
                <w:lang w:val="ru-RU" w:eastAsia="ru-RU" w:bidi="ar-SA"/>
              </w:rPr>
              <w:t>ПЦО-мес (GSM) 100</w:t>
            </w:r>
          </w:p>
        </w:tc>
        <w:tc>
          <w:tcPr>
            <w:tcW w:w="1613" w:type="dxa"/>
            <w:tcBorders>
              <w:left w:val="single" w:sz="4" w:space="0" w:color="000000"/>
              <w:bottom w:val="single" w:sz="4" w:space="0" w:color="000000"/>
            </w:tcBorders>
            <w:tcMar>
              <w:left w:w="0" w:type="dxa"/>
              <w:right w:w="0" w:type="dxa"/>
            </w:tcMar>
            <w:vAlign w:val="center"/>
          </w:tcPr>
          <w:p>
            <w:pPr>
              <w:pStyle w:val="Normal"/>
              <w:jc w:val="both"/>
              <w:rPr>
                <w:rFonts w:eastAsia="Times New Roman" w:cs="Times New Roman"/>
                <w:color w:val="auto"/>
                <w:sz w:val="24"/>
                <w:szCs w:val="24"/>
                <w:lang w:val="ru-RU" w:eastAsia="zh-CN" w:bidi="ar-SA"/>
              </w:rPr>
            </w:pPr>
            <w:r>
              <w:rPr>
                <w:rFonts w:eastAsia="Times New Roman" w:cs="Times New Roman"/>
                <w:color w:val="auto"/>
                <w:sz w:val="24"/>
                <w:szCs w:val="24"/>
                <w:lang w:val="ru-RU" w:eastAsia="zh-CN" w:bidi="ar-SA"/>
              </w:rPr>
              <w:t xml:space="preserve">      </w:t>
            </w:r>
            <w:r>
              <w:rPr>
                <w:rFonts w:eastAsia="Times New Roman" w:cs="Times New Roman"/>
                <w:color w:val="auto"/>
                <w:sz w:val="24"/>
                <w:szCs w:val="24"/>
                <w:lang w:val="ru-RU" w:eastAsia="zh-CN" w:bidi="ar-SA"/>
              </w:rPr>
              <w:t>667,26</w:t>
            </w:r>
          </w:p>
        </w:tc>
        <w:tc>
          <w:tcPr>
            <w:tcW w:w="51" w:type="dxa"/>
            <w:tcBorders>
              <w:left w:val="single" w:sz="4" w:space="0" w:color="000000"/>
              <w:bottom w:val="single" w:sz="8" w:space="0" w:color="000000"/>
            </w:tcBorders>
            <w:tcMar>
              <w:left w:w="0" w:type="dxa"/>
              <w:right w:w="0" w:type="dxa"/>
            </w:tcMar>
          </w:tcPr>
          <w:p>
            <w:pPr>
              <w:pStyle w:val="Normal"/>
              <w:snapToGrid w:val="false"/>
              <w:jc w:val="both"/>
              <w:rPr>
                <w:sz w:val="24"/>
                <w:szCs w:val="24"/>
                <w:lang w:eastAsia="ru-RU"/>
              </w:rPr>
            </w:pPr>
            <w:r>
              <w:rPr>
                <w:sz w:val="24"/>
                <w:szCs w:val="24"/>
                <w:lang w:eastAsia="ru-RU"/>
              </w:rPr>
            </w:r>
          </w:p>
        </w:tc>
        <w:tc>
          <w:tcPr>
            <w:tcW w:w="60" w:type="dxa"/>
            <w:tcBorders>
              <w:bottom w:val="single" w:sz="8" w:space="0" w:color="000000"/>
            </w:tcBorders>
            <w:tcMar>
              <w:left w:w="0" w:type="dxa"/>
              <w:right w:w="0" w:type="dxa"/>
            </w:tcMar>
          </w:tcPr>
          <w:p>
            <w:pPr>
              <w:pStyle w:val="Normal"/>
              <w:snapToGrid w:val="false"/>
              <w:jc w:val="both"/>
              <w:rPr>
                <w:sz w:val="24"/>
                <w:szCs w:val="24"/>
                <w:lang w:eastAsia="ru-RU"/>
              </w:rPr>
            </w:pPr>
            <w:r>
              <w:rPr>
                <w:sz w:val="24"/>
                <w:szCs w:val="24"/>
                <w:lang w:eastAsia="ru-RU"/>
              </w:rPr>
            </w:r>
          </w:p>
        </w:tc>
        <w:tc>
          <w:tcPr>
            <w:tcW w:w="77" w:type="dxa"/>
            <w:tcBorders/>
            <w:tcMar>
              <w:left w:w="0" w:type="dxa"/>
              <w:right w:w="0" w:type="dxa"/>
            </w:tcMar>
          </w:tcPr>
          <w:p>
            <w:pPr>
              <w:pStyle w:val="Normal"/>
              <w:snapToGrid w:val="false"/>
              <w:rPr>
                <w:sz w:val="24"/>
                <w:szCs w:val="24"/>
                <w:lang w:eastAsia="ru-RU"/>
              </w:rPr>
            </w:pPr>
            <w:r>
              <w:rPr>
                <w:sz w:val="24"/>
                <w:szCs w:val="24"/>
                <w:lang w:eastAsia="ru-RU"/>
              </w:rPr>
            </w:r>
          </w:p>
        </w:tc>
      </w:tr>
    </w:tbl>
    <w:p>
      <w:pPr>
        <w:pStyle w:val="Normal"/>
        <w:widowControl w:val="false"/>
        <w:shd w:val="clear" w:fill="FFFFFF"/>
        <w:jc w:val="both"/>
        <w:rPr>
          <w:sz w:val="24"/>
          <w:szCs w:val="24"/>
          <w:lang w:eastAsia="ru-RU"/>
        </w:rPr>
      </w:pPr>
      <w:r>
        <w:rPr>
          <w:sz w:val="24"/>
          <w:szCs w:val="24"/>
          <w:lang w:eastAsia="ru-RU"/>
        </w:rPr>
      </w:r>
    </w:p>
    <w:p>
      <w:pPr>
        <w:pStyle w:val="Normal"/>
        <w:widowControl w:val="false"/>
        <w:shd w:val="clear" w:fill="FFFFFF"/>
        <w:jc w:val="both"/>
        <w:rPr/>
      </w:pPr>
      <w:r>
        <w:rPr>
          <w:sz w:val="24"/>
          <w:szCs w:val="24"/>
          <w:lang w:eastAsia="ru-RU"/>
        </w:rPr>
        <w:t xml:space="preserve">                                                                     </w:t>
      </w:r>
      <w:r>
        <w:rPr>
          <w:sz w:val="24"/>
          <w:szCs w:val="24"/>
          <w:lang w:eastAsia="ru-RU"/>
        </w:rPr>
        <w:t xml:space="preserve">Шестьсот </w:t>
      </w:r>
      <w:r>
        <w:rPr>
          <w:rFonts w:eastAsia="Times New Roman" w:cs="Times New Roman"/>
          <w:color w:val="auto"/>
          <w:sz w:val="24"/>
          <w:szCs w:val="24"/>
          <w:lang w:val="ru-RU" w:eastAsia="ru-RU" w:bidi="ar-SA"/>
        </w:rPr>
        <w:t xml:space="preserve"> шестьдесят  семь рублей  26  копеек</w:t>
      </w:r>
    </w:p>
    <w:p>
      <w:pPr>
        <w:pStyle w:val="Normal"/>
        <w:widowControl w:val="false"/>
        <w:shd w:val="clear" w:fill="FFFFFF"/>
        <w:jc w:val="both"/>
        <w:rPr>
          <w:sz w:val="24"/>
          <w:szCs w:val="24"/>
          <w:lang w:eastAsia="ru-RU"/>
        </w:rPr>
      </w:pPr>
      <w:r>
        <w:rPr>
          <w:sz w:val="24"/>
          <w:szCs w:val="24"/>
          <w:lang w:eastAsia="ru-RU"/>
        </w:rPr>
      </w:r>
    </w:p>
    <w:p>
      <w:pPr>
        <w:pStyle w:val="Normal"/>
        <w:widowControl w:val="false"/>
        <w:shd w:val="clear" w:fill="FFFFFF"/>
        <w:jc w:val="both"/>
        <w:rPr>
          <w:sz w:val="24"/>
          <w:szCs w:val="24"/>
          <w:lang w:eastAsia="ru-RU"/>
        </w:rPr>
      </w:pPr>
      <w:r>
        <w:rPr>
          <w:sz w:val="24"/>
          <w:szCs w:val="24"/>
          <w:lang w:eastAsia="ru-RU"/>
        </w:rPr>
      </w:r>
    </w:p>
    <w:p>
      <w:pPr>
        <w:pStyle w:val="Normal"/>
        <w:widowControl w:val="false"/>
        <w:shd w:val="clear" w:fill="FFFFFF"/>
        <w:jc w:val="both"/>
        <w:rPr>
          <w:sz w:val="24"/>
          <w:szCs w:val="24"/>
          <w:lang w:eastAsia="ru-RU"/>
        </w:rPr>
      </w:pPr>
      <w:r>
        <w:rPr>
          <w:sz w:val="24"/>
          <w:szCs w:val="24"/>
          <w:lang w:eastAsia="ru-RU"/>
        </w:rPr>
      </w:r>
    </w:p>
    <w:p>
      <w:pPr>
        <w:pStyle w:val="Normal"/>
        <w:widowControl w:val="false"/>
        <w:shd w:val="clear" w:fill="FFFFFF"/>
        <w:jc w:val="both"/>
        <w:rPr>
          <w:sz w:val="24"/>
          <w:szCs w:val="24"/>
          <w:lang w:eastAsia="ru-RU"/>
        </w:rPr>
      </w:pPr>
      <w:r>
        <w:rPr>
          <w:sz w:val="24"/>
          <w:szCs w:val="24"/>
          <w:lang w:eastAsia="ru-RU"/>
        </w:rPr>
      </w:r>
    </w:p>
    <w:p>
      <w:pPr>
        <w:pStyle w:val="Normal"/>
        <w:widowControl w:val="false"/>
        <w:shd w:val="clear" w:fill="FFFFFF"/>
        <w:jc w:val="both"/>
        <w:rPr/>
      </w:pPr>
      <w:r>
        <w:rPr>
          <w:sz w:val="24"/>
          <w:szCs w:val="24"/>
          <w:lang w:eastAsia="ru-RU"/>
        </w:rPr>
        <w:t xml:space="preserve">               </w:t>
      </w:r>
      <w:r>
        <w:rPr>
          <w:sz w:val="24"/>
          <w:szCs w:val="24"/>
          <w:lang w:eastAsia="ru-RU"/>
        </w:rPr>
        <w:t>Исполнитель                                                          Заказчик</w:t>
      </w:r>
    </w:p>
    <w:p>
      <w:pPr>
        <w:pStyle w:val="Normal"/>
        <w:widowControl w:val="false"/>
        <w:shd w:val="clear" w:fill="FFFFFF"/>
        <w:jc w:val="both"/>
        <w:rPr>
          <w:sz w:val="24"/>
          <w:szCs w:val="24"/>
          <w:lang w:eastAsia="ru-RU"/>
        </w:rPr>
      </w:pPr>
      <w:r>
        <w:rPr>
          <w:sz w:val="24"/>
          <w:szCs w:val="24"/>
          <w:lang w:eastAsia="ru-RU"/>
        </w:rPr>
      </w:r>
    </w:p>
    <w:p>
      <w:pPr>
        <w:pStyle w:val="Normal"/>
        <w:widowControl w:val="false"/>
        <w:shd w:val="clear" w:fill="FFFFFF"/>
        <w:jc w:val="both"/>
        <w:rPr>
          <w:sz w:val="24"/>
          <w:szCs w:val="24"/>
          <w:lang w:eastAsia="ru-RU"/>
        </w:rPr>
      </w:pPr>
      <w:r>
        <w:rPr>
          <w:sz w:val="24"/>
          <w:szCs w:val="24"/>
          <w:lang w:eastAsia="ru-RU"/>
        </w:rPr>
        <w:t>________________Я.К. Воронин                           _____________</w:t>
      </w:r>
    </w:p>
    <w:p>
      <w:pPr>
        <w:pStyle w:val="Normal"/>
        <w:widowControl w:val="false"/>
        <w:shd w:val="clear" w:fill="FFFFFF"/>
        <w:jc w:val="both"/>
        <w:rPr>
          <w:sz w:val="24"/>
          <w:szCs w:val="24"/>
          <w:lang w:eastAsia="ru-RU"/>
        </w:rPr>
      </w:pPr>
      <w:r>
        <w:rPr>
          <w:sz w:val="24"/>
          <w:szCs w:val="24"/>
          <w:lang w:eastAsia="ru-RU"/>
        </w:rPr>
        <w:t>м.п.                                                                                             м.п.</w:t>
      </w:r>
    </w:p>
    <w:sectPr>
      <w:type w:val="nextPage"/>
      <w:pgSz w:w="11906" w:h="16838"/>
      <w:pgMar w:left="1701" w:right="850"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XO Thames">
    <w:charset w:val="01"/>
    <w:family w:val="roman"/>
    <w:pitch w:val="default"/>
  </w:font>
  <w:font w:name="Cambria">
    <w:charset w:val="01"/>
    <w:family w:val="roman"/>
    <w:pitch w:val="default"/>
  </w:font>
  <w:font w:name="Tahoma">
    <w:charset w:val="01"/>
    <w:family w:val="roman"/>
    <w:pitch w:val="default"/>
  </w:font>
  <w:font w:name="MS Sans Serif">
    <w:charset w:val="01"/>
    <w:family w:val="roman"/>
    <w:pitch w:val="default"/>
  </w:font>
  <w:font w:name="PT Astra Serif">
    <w:charset w:val="01"/>
    <w:family w:val="roman"/>
    <w:pitch w:val="default"/>
  </w:font>
  <w:font w:name="Baskerville_A.Z_PS">
    <w:charset w:val="01"/>
    <w:family w:val="roman"/>
    <w:pitch w:val="default"/>
  </w:font>
  <w:font w:name="Liberation Sans">
    <w:altName w:val="Arial"/>
    <w:charset w:val="01"/>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color w:val="000000"/>
        <w:lang w:val="ru-RU" w:eastAsia="zh-CN" w:bidi="hi-IN"/>
      </w:rPr>
    </w:rPrDefault>
    <w:pPrDefault>
      <w:pPr>
        <w:suppressAutoHyphens w:val="true"/>
      </w:pPr>
    </w:pPrDefault>
  </w:docDefaults>
  <w:latentStyles w:defLockedState="0" w:defUIPriority="99" w:defSemiHidden="1" w:defUnhideWhenUsed="1" w:defQFormat="0" w:count="26">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heading 10" w:uiPriority="9" w:semiHidden="1" w:unhideWhenUsed="1" w:qFormat="1"/>
    <w:lsdException w:name="Title" w:uiPriority="10" w:semiHidden="0" w:unhideWhenUsed="0" w:qFormat="1"/>
    <w:lsdException w:name="Subtitle" w:uiPriority="11" w:semiHidden="0" w:unhideWhenUsed="0" w:qFormat="1"/>
    <w:lsdException w:name="Header and Footer" w:semiHidden="0" w:unhideWhenUsed="0" w:qFormat="0"/>
    <w:lsdException w:name="Footnote" w:semiHidden="0" w:unhideWhenUsed="0" w:qFormat="0"/>
    <w:lsdException w:name="toc 1" w:uiPriority="39" w:semiHidden="0" w:unhideWhenUsed="0" w:qFormat="0"/>
    <w:lsdException w:name="toc 2" w:uiPriority="39" w:semiHidden="0" w:unhideWhenUsed="0" w:qFormat="0"/>
    <w:lsdException w:name="toc 3" w:uiPriority="39" w:semiHidden="0" w:unhideWhenUsed="0" w:qFormat="0"/>
    <w:lsdException w:name="toc 4" w:uiPriority="39" w:semiHidden="0" w:unhideWhenUsed="0" w:qFormat="0"/>
    <w:lsdException w:name="toc 5" w:uiPriority="39" w:semiHidden="0" w:unhideWhenUsed="0" w:qFormat="0"/>
    <w:lsdException w:name="toc 6" w:uiPriority="39" w:semiHidden="0" w:unhideWhenUsed="0" w:qFormat="0"/>
    <w:lsdException w:name="toc 7" w:uiPriority="39" w:semiHidden="0" w:unhideWhenUsed="0" w:qFormat="0"/>
    <w:lsdException w:name="toc 8" w:uiPriority="39" w:semiHidden="0" w:unhideWhenUsed="0" w:qFormat="0"/>
    <w:lsdException w:name="toc 9" w:uiPriority="39" w:semiHidden="0" w:unhideWhenUsed="0" w:qFormat="0"/>
    <w:lsdException w:name="toc 10" w:uiPriority="39" w:semiHidden="0" w:unhideWhenUsed="0" w:qFormat="0"/>
    <w:lsdException w:name="Hyperlink" w:semiHidden="0" w:unhideWhenUsed="0" w:qFormat="0"/>
  </w:latentStyles>
  <w:style w:type="paragraph" w:styleId="Normal" w:default="1">
    <w:name w:val="Normal"/>
    <w:link w:val="Style_1_ch"/>
    <w:uiPriority w:val="0"/>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1">
    <w:name w:val="Heading 1"/>
    <w:basedOn w:val="Normal"/>
    <w:link w:val="Style_36_ch"/>
    <w:uiPriority w:val="9"/>
    <w:qFormat/>
    <w:pPr>
      <w:keepNext w:val="true"/>
      <w:jc w:val="center"/>
      <w:outlineLvl w:val="0"/>
    </w:pPr>
    <w:rPr>
      <w:b/>
      <w:sz w:val="28"/>
    </w:rPr>
  </w:style>
  <w:style w:type="paragraph" w:styleId="2">
    <w:name w:val="Heading 2"/>
    <w:next w:val="Normal"/>
    <w:link w:val="Style_67_ch"/>
    <w:uiPriority w:val="9"/>
    <w:qFormat/>
    <w:pPr>
      <w:widowControl/>
      <w:suppressAutoHyphens w:val="true"/>
      <w:bidi w:val="0"/>
      <w:spacing w:lineRule="auto" w:line="240" w:before="120" w:after="120"/>
      <w:ind w:left="0" w:right="0" w:hanging="0"/>
      <w:jc w:val="left"/>
      <w:outlineLvl w:val="1"/>
    </w:pPr>
    <w:rPr>
      <w:rFonts w:ascii="XO Thames" w:hAnsi="XO Thames" w:eastAsia="Tahoma" w:cs="Noto Sans Devanagari"/>
      <w:b/>
      <w:color w:val="00A0FF"/>
      <w:spacing w:val="0"/>
      <w:kern w:val="0"/>
      <w:sz w:val="26"/>
      <w:szCs w:val="20"/>
      <w:lang w:val="ru-RU" w:eastAsia="zh-CN" w:bidi="hi-IN"/>
    </w:rPr>
  </w:style>
  <w:style w:type="paragraph" w:styleId="3">
    <w:name w:val="Heading 3"/>
    <w:next w:val="Normal"/>
    <w:link w:val="Style_17_ch"/>
    <w:uiPriority w:val="9"/>
    <w:qFormat/>
    <w:pPr>
      <w:widowControl/>
      <w:suppressAutoHyphens w:val="true"/>
      <w:bidi w:val="0"/>
      <w:spacing w:lineRule="auto" w:line="240" w:before="0" w:after="0"/>
      <w:ind w:left="0" w:right="0" w:hanging="0"/>
      <w:jc w:val="left"/>
      <w:outlineLvl w:val="2"/>
    </w:pPr>
    <w:rPr>
      <w:rFonts w:ascii="XO Thames" w:hAnsi="XO Thames" w:eastAsia="Tahoma" w:cs="Noto Sans Devanagari"/>
      <w:b/>
      <w:i/>
      <w:color w:val="000000"/>
      <w:spacing w:val="0"/>
      <w:kern w:val="0"/>
      <w:sz w:val="24"/>
      <w:szCs w:val="20"/>
      <w:lang w:val="ru-RU" w:eastAsia="zh-CN" w:bidi="hi-IN"/>
    </w:rPr>
  </w:style>
  <w:style w:type="paragraph" w:styleId="4">
    <w:name w:val="Heading 4"/>
    <w:next w:val="Normal"/>
    <w:link w:val="Style_64_ch"/>
    <w:uiPriority w:val="9"/>
    <w:qFormat/>
    <w:pPr>
      <w:widowControl/>
      <w:suppressAutoHyphens w:val="true"/>
      <w:bidi w:val="0"/>
      <w:spacing w:lineRule="auto" w:line="240" w:before="120" w:after="120"/>
      <w:ind w:left="0" w:right="0" w:hanging="0"/>
      <w:jc w:val="left"/>
      <w:outlineLvl w:val="3"/>
    </w:pPr>
    <w:rPr>
      <w:rFonts w:ascii="XO Thames" w:hAnsi="XO Thames" w:eastAsia="Tahoma" w:cs="Noto Sans Devanagari"/>
      <w:b/>
      <w:color w:val="595959"/>
      <w:spacing w:val="0"/>
      <w:kern w:val="0"/>
      <w:sz w:val="26"/>
      <w:szCs w:val="20"/>
      <w:lang w:val="ru-RU" w:eastAsia="zh-CN" w:bidi="hi-IN"/>
    </w:rPr>
  </w:style>
  <w:style w:type="paragraph" w:styleId="5">
    <w:name w:val="Heading 5"/>
    <w:next w:val="Normal"/>
    <w:link w:val="Style_33_ch"/>
    <w:uiPriority w:val="9"/>
    <w:qFormat/>
    <w:pPr>
      <w:widowControl/>
      <w:suppressAutoHyphens w:val="true"/>
      <w:bidi w:val="0"/>
      <w:spacing w:lineRule="auto" w:line="240" w:before="120" w:after="120"/>
      <w:ind w:left="0" w:right="0" w:hanging="0"/>
      <w:jc w:val="left"/>
      <w:outlineLvl w:val="4"/>
    </w:pPr>
    <w:rPr>
      <w:rFonts w:ascii="XO Thames" w:hAnsi="XO Thames" w:eastAsia="Tahoma" w:cs="Noto Sans Devanagari"/>
      <w:b/>
      <w:color w:val="000000"/>
      <w:spacing w:val="0"/>
      <w:kern w:val="0"/>
      <w:sz w:val="22"/>
      <w:szCs w:val="20"/>
      <w:lang w:val="ru-RU" w:eastAsia="zh-CN" w:bidi="hi-IN"/>
    </w:rPr>
  </w:style>
  <w:style w:type="character" w:styleId="Style9">
    <w:name w:val="Основной текст с отступом Знак"/>
    <w:basedOn w:val="DefaultParagraphFont"/>
    <w:link w:val="Style_7"/>
    <w:qFormat/>
    <w:rPr>
      <w:sz w:val="24"/>
    </w:rPr>
  </w:style>
  <w:style w:type="character" w:styleId="Contents2">
    <w:name w:val="Contents 2"/>
    <w:link w:val="Style_9"/>
    <w:qFormat/>
    <w:rPr/>
  </w:style>
  <w:style w:type="character" w:styleId="Style10">
    <w:name w:val="Заголовок Знак"/>
    <w:basedOn w:val="DefaultParagraphFont"/>
    <w:link w:val="Style_10"/>
    <w:qFormat/>
    <w:rPr>
      <w:rFonts w:ascii="Cambria" w:hAnsi="Cambria" w:asciiTheme="majorAscii" w:hAnsiTheme="majorHAnsi"/>
      <w:b/>
      <w:sz w:val="32"/>
    </w:rPr>
  </w:style>
  <w:style w:type="character" w:styleId="Contents4">
    <w:name w:val="Contents 4"/>
    <w:link w:val="Style_11"/>
    <w:qFormat/>
    <w:rPr/>
  </w:style>
  <w:style w:type="character" w:styleId="31">
    <w:name w:val="Знак Знак Знак Знак Знак Знак3 Знак Знак Знак Знак Знак Знак Знак Знак Знак Знак Знак Знак Знак Знак Знак Знак Знак Знак Знак Знак"/>
    <w:link w:val="Style_12"/>
    <w:qFormat/>
    <w:rPr>
      <w:rFonts w:ascii="Tahoma" w:hAnsi="Tahoma"/>
      <w:sz w:val="20"/>
    </w:rPr>
  </w:style>
  <w:style w:type="character" w:styleId="Style11">
    <w:name w:val="Выделение"/>
    <w:basedOn w:val="DefaultParagraphFont"/>
    <w:link w:val="Style_13"/>
    <w:qFormat/>
    <w:rPr>
      <w:i/>
    </w:rPr>
  </w:style>
  <w:style w:type="character" w:styleId="Contents6">
    <w:name w:val="Contents 6"/>
    <w:link w:val="Style_14"/>
    <w:qFormat/>
    <w:rPr/>
  </w:style>
  <w:style w:type="character" w:styleId="Contents7">
    <w:name w:val="Contents 7"/>
    <w:link w:val="Style_15"/>
    <w:qFormat/>
    <w:rPr/>
  </w:style>
  <w:style w:type="character" w:styleId="Caption">
    <w:name w:val="caption"/>
    <w:link w:val="Style_16"/>
    <w:qFormat/>
    <w:rPr>
      <w:b/>
      <w:u w:val="single"/>
      <w:vertAlign w:val="subscript"/>
    </w:rPr>
  </w:style>
  <w:style w:type="character" w:styleId="Heading3">
    <w:name w:val="Heading 3"/>
    <w:link w:val="Style_17"/>
    <w:qFormat/>
    <w:rPr>
      <w:rFonts w:ascii="XO Thames" w:hAnsi="XO Thames"/>
      <w:b/>
      <w:i/>
      <w:color w:val="000000"/>
    </w:rPr>
  </w:style>
  <w:style w:type="character" w:styleId="Style12">
    <w:name w:val="Указатель"/>
    <w:link w:val="Style_18"/>
    <w:qFormat/>
    <w:rPr/>
  </w:style>
  <w:style w:type="character" w:styleId="Textbody">
    <w:name w:val="Text body"/>
    <w:link w:val="Style_3"/>
    <w:qFormat/>
    <w:rPr>
      <w:rFonts w:ascii="MS Sans Serif" w:hAnsi="MS Sans Serif"/>
    </w:rPr>
  </w:style>
  <w:style w:type="character" w:styleId="32">
    <w:name w:val="Основной текст 3 Знак"/>
    <w:basedOn w:val="DefaultParagraphFont"/>
    <w:link w:val="Style_19"/>
    <w:qFormat/>
    <w:rPr>
      <w:sz w:val="16"/>
    </w:rPr>
  </w:style>
  <w:style w:type="character" w:styleId="BodyTextIndent3">
    <w:name w:val="Body Text Indent 3"/>
    <w:link w:val="Style_20"/>
    <w:qFormat/>
    <w:rPr>
      <w:b/>
    </w:rPr>
  </w:style>
  <w:style w:type="character" w:styleId="DocumentMap">
    <w:name w:val="Document Map"/>
    <w:link w:val="Style_21"/>
    <w:qFormat/>
    <w:rPr>
      <w:rFonts w:ascii="Tahoma" w:hAnsi="Tahoma"/>
      <w:sz w:val="20"/>
    </w:rPr>
  </w:style>
  <w:style w:type="character" w:styleId="Revision">
    <w:name w:val="Revision"/>
    <w:link w:val="Style_22"/>
    <w:qFormat/>
    <w:rPr>
      <w:rFonts w:ascii="Times New Roman" w:hAnsi="Times New Roman"/>
      <w:color w:val="000000"/>
      <w:sz w:val="24"/>
    </w:rPr>
  </w:style>
  <w:style w:type="character" w:styleId="21">
    <w:name w:val="Основной текст с отступом 2 Знак"/>
    <w:basedOn w:val="DefaultParagraphFont"/>
    <w:link w:val="Style_23"/>
    <w:qFormat/>
    <w:rPr>
      <w:sz w:val="24"/>
    </w:rPr>
  </w:style>
  <w:style w:type="character" w:styleId="Style13">
    <w:name w:val="Интернет-ссылка"/>
    <w:basedOn w:val="DefaultParagraphFont"/>
    <w:link w:val="Style_38"/>
    <w:rPr>
      <w:color w:val="0000FF"/>
      <w:u w:val="single"/>
    </w:rPr>
  </w:style>
  <w:style w:type="character" w:styleId="DefaultParagraphFont">
    <w:name w:val="Default Paragraph Font"/>
    <w:link w:val="Style_8"/>
    <w:qFormat/>
    <w:rPr/>
  </w:style>
  <w:style w:type="character" w:styleId="Style14">
    <w:name w:val="Заголовок"/>
    <w:link w:val="Style_25"/>
    <w:qFormat/>
    <w:rPr>
      <w:rFonts w:ascii="PT Astra Serif" w:hAnsi="PT Astra Serif"/>
      <w:sz w:val="28"/>
    </w:rPr>
  </w:style>
  <w:style w:type="character" w:styleId="22">
    <w:name w:val="Текст выноски Знак2"/>
    <w:basedOn w:val="DefaultParagraphFont"/>
    <w:link w:val="Style_26"/>
    <w:qFormat/>
    <w:rPr>
      <w:rFonts w:ascii="Cambria" w:hAnsi="Cambria" w:asciiTheme="majorAscii" w:hAnsiTheme="majorHAnsi"/>
      <w:b/>
      <w:sz w:val="32"/>
    </w:rPr>
  </w:style>
  <w:style w:type="character" w:styleId="Index1">
    <w:name w:val="index 1"/>
    <w:link w:val="Style_27"/>
    <w:qFormat/>
    <w:rPr/>
  </w:style>
  <w:style w:type="character" w:styleId="Style15">
    <w:name w:val="Схема документа Знак"/>
    <w:basedOn w:val="DefaultParagraphFont"/>
    <w:link w:val="Style_28"/>
    <w:qFormat/>
    <w:rPr>
      <w:sz w:val="0"/>
    </w:rPr>
  </w:style>
  <w:style w:type="character" w:styleId="BodyTextIndent2">
    <w:name w:val="Body Text Indent 2"/>
    <w:link w:val="Style_29"/>
    <w:qFormat/>
    <w:rPr/>
  </w:style>
  <w:style w:type="character" w:styleId="Contents3">
    <w:name w:val="Contents 3"/>
    <w:link w:val="Style_30"/>
    <w:qFormat/>
    <w:rPr/>
  </w:style>
  <w:style w:type="character" w:styleId="PlaceholderText">
    <w:name w:val="Placeholder Text"/>
    <w:basedOn w:val="DefaultParagraphFont"/>
    <w:link w:val="Style_31"/>
    <w:qFormat/>
    <w:rPr>
      <w:color w:val="808080"/>
    </w:rPr>
  </w:style>
  <w:style w:type="character" w:styleId="33">
    <w:name w:val="Основной текст с отступом 3 Знак"/>
    <w:basedOn w:val="DefaultParagraphFont"/>
    <w:link w:val="Style_32"/>
    <w:qFormat/>
    <w:rPr>
      <w:sz w:val="16"/>
    </w:rPr>
  </w:style>
  <w:style w:type="character" w:styleId="Heading5">
    <w:name w:val="Heading 5"/>
    <w:link w:val="Style_33"/>
    <w:qFormat/>
    <w:rPr>
      <w:rFonts w:ascii="XO Thames" w:hAnsi="XO Thames"/>
      <w:b/>
      <w:color w:val="000000"/>
      <w:sz w:val="22"/>
    </w:rPr>
  </w:style>
  <w:style w:type="character" w:styleId="BodyText2">
    <w:name w:val="Body Text 2"/>
    <w:link w:val="Style_34"/>
    <w:qFormat/>
    <w:rPr/>
  </w:style>
  <w:style w:type="character" w:styleId="Blk">
    <w:name w:val="blk"/>
    <w:basedOn w:val="DefaultParagraphFont"/>
    <w:link w:val="Style_35"/>
    <w:qFormat/>
    <w:rPr/>
  </w:style>
  <w:style w:type="character" w:styleId="Heading1">
    <w:name w:val="Heading 1"/>
    <w:link w:val="Style_36"/>
    <w:qFormat/>
    <w:rPr>
      <w:b/>
      <w:sz w:val="28"/>
    </w:rPr>
  </w:style>
  <w:style w:type="character" w:styleId="P24">
    <w:name w:val="p24"/>
    <w:link w:val="Style_5"/>
    <w:qFormat/>
    <w:rPr/>
  </w:style>
  <w:style w:type="character" w:styleId="Textbodyindent">
    <w:name w:val="Text body indent"/>
    <w:link w:val="Style_4"/>
    <w:qFormat/>
    <w:rPr>
      <w:rFonts w:ascii="MS Sans Serif" w:hAnsi="MS Sans Serif"/>
    </w:rPr>
  </w:style>
  <w:style w:type="character" w:styleId="Header">
    <w:name w:val="Header"/>
    <w:link w:val="Style_37"/>
    <w:qFormat/>
    <w:rPr/>
  </w:style>
  <w:style w:type="character" w:styleId="Footnote">
    <w:name w:val="Footnote"/>
    <w:link w:val="Style_39"/>
    <w:qFormat/>
    <w:rPr>
      <w:rFonts w:ascii="XO Thames" w:hAnsi="XO Thames"/>
      <w:sz w:val="22"/>
    </w:rPr>
  </w:style>
  <w:style w:type="character" w:styleId="Contents1">
    <w:name w:val="Contents 1"/>
    <w:link w:val="Style_40"/>
    <w:qFormat/>
    <w:rPr>
      <w:rFonts w:ascii="XO Thames" w:hAnsi="XO Thames"/>
      <w:b/>
    </w:rPr>
  </w:style>
  <w:style w:type="character" w:styleId="Style16">
    <w:name w:val="Без интервала Знак"/>
    <w:link w:val="Style_41"/>
    <w:qFormat/>
    <w:rPr>
      <w:rFonts w:ascii="Baskerville_A.Z_PS" w:hAnsi="Baskerville_A.Z_PS"/>
      <w:sz w:val="32"/>
    </w:rPr>
  </w:style>
  <w:style w:type="character" w:styleId="HeaderandFooter">
    <w:name w:val="Header and Footer"/>
    <w:link w:val="Style_42"/>
    <w:qFormat/>
    <w:rPr>
      <w:rFonts w:ascii="XO Thames" w:hAnsi="XO Thames"/>
      <w:sz w:val="20"/>
    </w:rPr>
  </w:style>
  <w:style w:type="character" w:styleId="List">
    <w:name w:val="List"/>
    <w:basedOn w:val="Textbody"/>
    <w:link w:val="Style_43"/>
    <w:qFormat/>
    <w:rPr/>
  </w:style>
  <w:style w:type="character" w:styleId="11">
    <w:name w:val="Текст выноски Знак1"/>
    <w:basedOn w:val="DefaultParagraphFont"/>
    <w:link w:val="Style_44"/>
    <w:qFormat/>
    <w:rPr>
      <w:sz w:val="0"/>
    </w:rPr>
  </w:style>
  <w:style w:type="character" w:styleId="Pagenumber">
    <w:name w:val="page number"/>
    <w:basedOn w:val="DefaultParagraphFont"/>
    <w:link w:val="Style_45"/>
    <w:qFormat/>
    <w:rPr/>
  </w:style>
  <w:style w:type="character" w:styleId="Style17">
    <w:name w:val="Нижний колонтитул Знак"/>
    <w:basedOn w:val="DefaultParagraphFont"/>
    <w:link w:val="Style_46"/>
    <w:qFormat/>
    <w:rPr>
      <w:sz w:val="24"/>
    </w:rPr>
  </w:style>
  <w:style w:type="character" w:styleId="Style18">
    <w:name w:val="Текст выноски Знак"/>
    <w:basedOn w:val="DefaultParagraphFont"/>
    <w:link w:val="Style_47"/>
    <w:qFormat/>
    <w:rPr>
      <w:rFonts w:ascii="Tahoma" w:hAnsi="Tahoma"/>
      <w:sz w:val="16"/>
    </w:rPr>
  </w:style>
  <w:style w:type="character" w:styleId="Contents9">
    <w:name w:val="Contents 9"/>
    <w:link w:val="Style_48"/>
    <w:qFormat/>
    <w:rPr/>
  </w:style>
  <w:style w:type="character" w:styleId="NoSpacing">
    <w:name w:val="No Spacing"/>
    <w:link w:val="Style_49"/>
    <w:qFormat/>
    <w:rPr>
      <w:rFonts w:ascii="Baskerville_A.Z_PS" w:hAnsi="Baskerville_A.Z_PS"/>
      <w:color w:val="000000"/>
      <w:sz w:val="32"/>
    </w:rPr>
  </w:style>
  <w:style w:type="character" w:styleId="23">
    <w:name w:val="Основной текст2"/>
    <w:link w:val="Style_50"/>
    <w:qFormat/>
    <w:rPr>
      <w:spacing w:val="10"/>
      <w:sz w:val="18"/>
    </w:rPr>
  </w:style>
  <w:style w:type="character" w:styleId="Contents8">
    <w:name w:val="Contents 8"/>
    <w:link w:val="Style_51"/>
    <w:qFormat/>
    <w:rPr/>
  </w:style>
  <w:style w:type="character" w:styleId="BalloonText">
    <w:name w:val="Balloon Text"/>
    <w:link w:val="Style_52"/>
    <w:qFormat/>
    <w:rPr>
      <w:rFonts w:ascii="Tahoma" w:hAnsi="Tahoma"/>
      <w:sz w:val="16"/>
    </w:rPr>
  </w:style>
  <w:style w:type="character" w:styleId="Nobr">
    <w:name w:val="nobr"/>
    <w:basedOn w:val="DefaultParagraphFont"/>
    <w:link w:val="Style_53"/>
    <w:qFormat/>
    <w:rPr/>
  </w:style>
  <w:style w:type="character" w:styleId="Indexheading">
    <w:name w:val="index heading"/>
    <w:link w:val="Style_54"/>
    <w:qFormat/>
    <w:rPr/>
  </w:style>
  <w:style w:type="character" w:styleId="12">
    <w:name w:val="Заголовок1"/>
    <w:link w:val="Style_55"/>
    <w:qFormat/>
    <w:rPr>
      <w:rFonts w:ascii="Liberation Sans" w:hAnsi="Liberation Sans"/>
      <w:sz w:val="28"/>
    </w:rPr>
  </w:style>
  <w:style w:type="character" w:styleId="Contents5">
    <w:name w:val="Contents 5"/>
    <w:link w:val="Style_56"/>
    <w:qFormat/>
    <w:rPr/>
  </w:style>
  <w:style w:type="character" w:styleId="ListParagraph">
    <w:name w:val="List Paragraph"/>
    <w:link w:val="Style_2"/>
    <w:qFormat/>
    <w:rPr/>
  </w:style>
  <w:style w:type="character" w:styleId="Caption1">
    <w:name w:val="Caption"/>
    <w:link w:val="Style_57"/>
    <w:qFormat/>
    <w:rPr>
      <w:i/>
      <w:sz w:val="24"/>
    </w:rPr>
  </w:style>
  <w:style w:type="character" w:styleId="Footer">
    <w:name w:val="Footer"/>
    <w:link w:val="Style_58"/>
    <w:qFormat/>
    <w:rPr/>
  </w:style>
  <w:style w:type="character" w:styleId="Style19">
    <w:name w:val="Основной текст Знак"/>
    <w:basedOn w:val="DefaultParagraphFont"/>
    <w:link w:val="Style_59"/>
    <w:qFormat/>
    <w:rPr>
      <w:sz w:val="24"/>
    </w:rPr>
  </w:style>
  <w:style w:type="character" w:styleId="Style20">
    <w:name w:val="Верхний и нижний колонтитулы"/>
    <w:link w:val="Style_60"/>
    <w:qFormat/>
    <w:rPr/>
  </w:style>
  <w:style w:type="character" w:styleId="Subtitle">
    <w:name w:val="Subtitle"/>
    <w:link w:val="Style_61"/>
    <w:qFormat/>
    <w:rPr>
      <w:rFonts w:ascii="XO Thames" w:hAnsi="XO Thames"/>
      <w:i/>
      <w:color w:val="616161"/>
      <w:sz w:val="24"/>
    </w:rPr>
  </w:style>
  <w:style w:type="character" w:styleId="Toc10">
    <w:name w:val="toc 10"/>
    <w:link w:val="Style_62"/>
    <w:qFormat/>
    <w:rPr/>
  </w:style>
  <w:style w:type="character" w:styleId="Title">
    <w:name w:val="Title"/>
    <w:link w:val="Style_63"/>
    <w:qFormat/>
    <w:rPr>
      <w:b/>
    </w:rPr>
  </w:style>
  <w:style w:type="character" w:styleId="Heading4">
    <w:name w:val="Heading 4"/>
    <w:link w:val="Style_64"/>
    <w:qFormat/>
    <w:rPr>
      <w:rFonts w:ascii="XO Thames" w:hAnsi="XO Thames"/>
      <w:b/>
      <w:color w:val="595959"/>
      <w:sz w:val="26"/>
    </w:rPr>
  </w:style>
  <w:style w:type="character" w:styleId="Style21">
    <w:name w:val="Верхний колонтитул Знак"/>
    <w:basedOn w:val="DefaultParagraphFont"/>
    <w:link w:val="Style_65"/>
    <w:qFormat/>
    <w:rPr>
      <w:sz w:val="24"/>
    </w:rPr>
  </w:style>
  <w:style w:type="character" w:styleId="BodyText3">
    <w:name w:val="Body Text 3"/>
    <w:link w:val="Style_66"/>
    <w:qFormat/>
    <w:rPr>
      <w:sz w:val="16"/>
    </w:rPr>
  </w:style>
  <w:style w:type="character" w:styleId="Heading2">
    <w:name w:val="Heading 2"/>
    <w:link w:val="Style_67"/>
    <w:qFormat/>
    <w:rPr>
      <w:rFonts w:ascii="XO Thames" w:hAnsi="XO Thames"/>
      <w:b/>
      <w:color w:val="00A0FF"/>
      <w:sz w:val="26"/>
    </w:rPr>
  </w:style>
  <w:style w:type="paragraph" w:styleId="Style22">
    <w:name w:val="Заголовок"/>
    <w:basedOn w:val="Normal"/>
    <w:next w:val="Style23"/>
    <w:link w:val="Style_25_ch"/>
    <w:qFormat/>
    <w:pPr>
      <w:keepNext w:val="true"/>
      <w:spacing w:before="240" w:after="120"/>
    </w:pPr>
    <w:rPr>
      <w:rFonts w:ascii="PT Astra Serif" w:hAnsi="PT Astra Serif"/>
      <w:sz w:val="28"/>
    </w:rPr>
  </w:style>
  <w:style w:type="paragraph" w:styleId="Style23">
    <w:name w:val="Body Text"/>
    <w:basedOn w:val="Normal"/>
    <w:link w:val="Style_3_ch"/>
    <w:pPr>
      <w:jc w:val="both"/>
    </w:pPr>
    <w:rPr>
      <w:rFonts w:ascii="MS Sans Serif" w:hAnsi="MS Sans Serif"/>
    </w:rPr>
  </w:style>
  <w:style w:type="paragraph" w:styleId="Style24">
    <w:name w:val="List"/>
    <w:basedOn w:val="Style23"/>
    <w:link w:val="Style_43_ch"/>
    <w:pPr/>
    <w:rPr/>
  </w:style>
  <w:style w:type="paragraph" w:styleId="Style25">
    <w:name w:val="Caption"/>
    <w:basedOn w:val="Normal"/>
    <w:link w:val="Style_57_ch"/>
    <w:qFormat/>
    <w:pPr>
      <w:spacing w:before="120" w:after="120"/>
    </w:pPr>
    <w:rPr>
      <w:i/>
      <w:sz w:val="24"/>
    </w:rPr>
  </w:style>
  <w:style w:type="paragraph" w:styleId="Style26">
    <w:name w:val="Указатель"/>
    <w:basedOn w:val="Normal"/>
    <w:link w:val="Style_18_ch"/>
    <w:qFormat/>
    <w:pPr/>
    <w:rPr/>
  </w:style>
  <w:style w:type="paragraph" w:styleId="Style27">
    <w:name w:val="Основной текст с отступом Знак"/>
    <w:basedOn w:val="DefaultParagraphFont1"/>
    <w:link w:val="Style_7_ch"/>
    <w:qFormat/>
    <w:pPr/>
    <w:rPr>
      <w:sz w:val="24"/>
    </w:rPr>
  </w:style>
  <w:style w:type="paragraph" w:styleId="24">
    <w:name w:val="TOC 2"/>
    <w:next w:val="Normal"/>
    <w:link w:val="Style_9_ch"/>
    <w:uiPriority w:val="39"/>
    <w:pPr>
      <w:widowControl/>
      <w:suppressAutoHyphens w:val="true"/>
      <w:bidi w:val="0"/>
      <w:spacing w:lineRule="auto" w:line="240" w:before="0" w:after="0"/>
      <w:ind w:left="20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Style28">
    <w:name w:val="Заголовок Знак"/>
    <w:basedOn w:val="DefaultParagraphFont1"/>
    <w:link w:val="Style_10_ch"/>
    <w:qFormat/>
    <w:pPr/>
    <w:rPr>
      <w:rFonts w:ascii="Cambria" w:hAnsi="Cambria" w:asciiTheme="majorAscii" w:hAnsiTheme="majorHAnsi"/>
      <w:b/>
      <w:sz w:val="32"/>
    </w:rPr>
  </w:style>
  <w:style w:type="paragraph" w:styleId="41">
    <w:name w:val="TOC 4"/>
    <w:next w:val="Normal"/>
    <w:link w:val="Style_11_ch"/>
    <w:uiPriority w:val="39"/>
    <w:pPr>
      <w:widowControl/>
      <w:suppressAutoHyphens w:val="true"/>
      <w:bidi w:val="0"/>
      <w:spacing w:lineRule="auto" w:line="240" w:before="0" w:after="0"/>
      <w:ind w:left="60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34">
    <w:name w:val="Знак Знак Знак Знак Знак Знак3 Знак Знак Знак Знак Знак Знак Знак Знак Знак Знак Знак Знак Знак Знак Знак Знак Знак Знак Знак Знак"/>
    <w:basedOn w:val="Normal"/>
    <w:link w:val="Style_12_ch"/>
    <w:qFormat/>
    <w:pPr>
      <w:spacing w:beforeAutospacing="1" w:afterAutospacing="1"/>
    </w:pPr>
    <w:rPr>
      <w:rFonts w:ascii="Tahoma" w:hAnsi="Tahoma"/>
      <w:sz w:val="20"/>
    </w:rPr>
  </w:style>
  <w:style w:type="paragraph" w:styleId="Style29">
    <w:name w:val="Выделение"/>
    <w:basedOn w:val="DefaultParagraphFont1"/>
    <w:link w:val="Style_13_ch"/>
    <w:qFormat/>
    <w:pPr/>
    <w:rPr>
      <w:i/>
    </w:rPr>
  </w:style>
  <w:style w:type="paragraph" w:styleId="6">
    <w:name w:val="TOC 6"/>
    <w:next w:val="Normal"/>
    <w:link w:val="Style_14_ch"/>
    <w:uiPriority w:val="39"/>
    <w:pPr>
      <w:widowControl/>
      <w:suppressAutoHyphens w:val="true"/>
      <w:bidi w:val="0"/>
      <w:spacing w:lineRule="auto" w:line="240" w:before="0" w:after="0"/>
      <w:ind w:left="100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7">
    <w:name w:val="TOC 7"/>
    <w:next w:val="Normal"/>
    <w:link w:val="Style_15_ch"/>
    <w:uiPriority w:val="39"/>
    <w:pPr>
      <w:widowControl/>
      <w:suppressAutoHyphens w:val="true"/>
      <w:bidi w:val="0"/>
      <w:spacing w:lineRule="auto" w:line="240" w:before="0" w:after="0"/>
      <w:ind w:left="120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Caption2">
    <w:name w:val="caption"/>
    <w:basedOn w:val="Normal"/>
    <w:link w:val="Style_16_ch"/>
    <w:qFormat/>
    <w:pPr>
      <w:jc w:val="center"/>
    </w:pPr>
    <w:rPr>
      <w:b/>
      <w:u w:val="single"/>
      <w:vertAlign w:val="subscript"/>
    </w:rPr>
  </w:style>
  <w:style w:type="paragraph" w:styleId="35">
    <w:name w:val="Основной текст 3 Знак"/>
    <w:basedOn w:val="DefaultParagraphFont1"/>
    <w:link w:val="Style_19_ch"/>
    <w:qFormat/>
    <w:pPr/>
    <w:rPr>
      <w:sz w:val="16"/>
    </w:rPr>
  </w:style>
  <w:style w:type="paragraph" w:styleId="BodyTextIndent31">
    <w:name w:val="Body Text Indent 3"/>
    <w:basedOn w:val="Normal"/>
    <w:link w:val="Style_20_ch"/>
    <w:qFormat/>
    <w:pPr>
      <w:tabs>
        <w:tab w:val="clear" w:pos="708"/>
        <w:tab w:val="left" w:pos="0" w:leader="none"/>
      </w:tabs>
      <w:ind w:left="0" w:right="0" w:firstLine="567"/>
      <w:jc w:val="both"/>
    </w:pPr>
    <w:rPr>
      <w:b/>
    </w:rPr>
  </w:style>
  <w:style w:type="paragraph" w:styleId="DocumentMap1">
    <w:name w:val="Document Map"/>
    <w:basedOn w:val="Normal"/>
    <w:link w:val="Style_21_ch"/>
    <w:qFormat/>
    <w:pPr/>
    <w:rPr>
      <w:rFonts w:ascii="Tahoma" w:hAnsi="Tahoma"/>
      <w:sz w:val="20"/>
    </w:rPr>
  </w:style>
  <w:style w:type="paragraph" w:styleId="Revision1">
    <w:name w:val="Revision"/>
    <w:link w:val="Style_2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25">
    <w:name w:val="Основной текст с отступом 2 Знак"/>
    <w:basedOn w:val="DefaultParagraphFont1"/>
    <w:link w:val="Style_23_ch"/>
    <w:qFormat/>
    <w:pPr/>
    <w:rPr>
      <w:sz w:val="24"/>
    </w:rPr>
  </w:style>
  <w:style w:type="paragraph" w:styleId="Style30">
    <w:name w:val="Интернет-ссылка"/>
    <w:basedOn w:val="DefaultParagraphFont1"/>
    <w:link w:val="Style_24_ch"/>
    <w:qFormat/>
    <w:pPr/>
    <w:rPr>
      <w:color w:val="0000FF"/>
      <w:u w:val="single"/>
    </w:rPr>
  </w:style>
  <w:style w:type="paragraph" w:styleId="DefaultParagraphFont1">
    <w:name w:val="Default Paragraph Font"/>
    <w:link w:val="Style_8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26">
    <w:name w:val="Текст выноски Знак2"/>
    <w:basedOn w:val="DefaultParagraphFont1"/>
    <w:link w:val="Style_26_ch"/>
    <w:qFormat/>
    <w:pPr/>
    <w:rPr>
      <w:rFonts w:ascii="Cambria" w:hAnsi="Cambria" w:asciiTheme="majorAscii" w:hAnsiTheme="majorHAnsi"/>
      <w:b/>
      <w:sz w:val="32"/>
    </w:rPr>
  </w:style>
  <w:style w:type="paragraph" w:styleId="Index11">
    <w:name w:val="index 1"/>
    <w:basedOn w:val="Normal"/>
    <w:next w:val="Normal"/>
    <w:link w:val="Style_27_ch"/>
    <w:qFormat/>
    <w:pPr>
      <w:ind w:left="240" w:right="0" w:hanging="240"/>
    </w:pPr>
    <w:rPr/>
  </w:style>
  <w:style w:type="paragraph" w:styleId="Style31">
    <w:name w:val="Схема документа Знак"/>
    <w:basedOn w:val="DefaultParagraphFont1"/>
    <w:link w:val="Style_28_ch"/>
    <w:qFormat/>
    <w:pPr/>
    <w:rPr>
      <w:sz w:val="0"/>
    </w:rPr>
  </w:style>
  <w:style w:type="paragraph" w:styleId="BodyTextIndent21">
    <w:name w:val="Body Text Indent 2"/>
    <w:basedOn w:val="Normal"/>
    <w:link w:val="Style_29_ch"/>
    <w:qFormat/>
    <w:pPr>
      <w:spacing w:lineRule="auto" w:line="480" w:before="0" w:after="120"/>
      <w:ind w:left="283" w:right="0" w:hanging="0"/>
    </w:pPr>
    <w:rPr/>
  </w:style>
  <w:style w:type="paragraph" w:styleId="36">
    <w:name w:val="TOC 3"/>
    <w:next w:val="Normal"/>
    <w:link w:val="Style_30_ch"/>
    <w:uiPriority w:val="39"/>
    <w:pPr>
      <w:widowControl/>
      <w:suppressAutoHyphens w:val="true"/>
      <w:bidi w:val="0"/>
      <w:spacing w:lineRule="auto" w:line="240" w:before="0" w:after="0"/>
      <w:ind w:left="40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PlaceholderText1">
    <w:name w:val="Placeholder Text"/>
    <w:basedOn w:val="DefaultParagraphFont1"/>
    <w:link w:val="Style_31_ch"/>
    <w:qFormat/>
    <w:pPr/>
    <w:rPr>
      <w:color w:val="808080"/>
    </w:rPr>
  </w:style>
  <w:style w:type="paragraph" w:styleId="37">
    <w:name w:val="Основной текст с отступом 3 Знак"/>
    <w:basedOn w:val="DefaultParagraphFont1"/>
    <w:link w:val="Style_32_ch"/>
    <w:qFormat/>
    <w:pPr/>
    <w:rPr>
      <w:sz w:val="16"/>
    </w:rPr>
  </w:style>
  <w:style w:type="paragraph" w:styleId="BodyText21">
    <w:name w:val="Body Text 2"/>
    <w:basedOn w:val="Normal"/>
    <w:link w:val="Style_34_ch"/>
    <w:qFormat/>
    <w:pPr>
      <w:spacing w:lineRule="auto" w:line="480" w:before="0" w:after="120"/>
    </w:pPr>
    <w:rPr/>
  </w:style>
  <w:style w:type="paragraph" w:styleId="Blk1">
    <w:name w:val="blk"/>
    <w:basedOn w:val="DefaultParagraphFont1"/>
    <w:link w:val="Style_35_ch"/>
    <w:qFormat/>
    <w:pPr/>
    <w:rPr/>
  </w:style>
  <w:style w:type="paragraph" w:styleId="P241">
    <w:name w:val="p24"/>
    <w:basedOn w:val="Normal"/>
    <w:link w:val="Style_5_ch"/>
    <w:qFormat/>
    <w:pPr>
      <w:spacing w:beforeAutospacing="1" w:afterAutospacing="1"/>
    </w:pPr>
    <w:rPr/>
  </w:style>
  <w:style w:type="paragraph" w:styleId="Style32">
    <w:name w:val="Body Text Indent"/>
    <w:basedOn w:val="Normal"/>
    <w:link w:val="Style_4_ch"/>
    <w:pPr>
      <w:ind w:left="0" w:right="0" w:firstLine="720"/>
      <w:jc w:val="both"/>
    </w:pPr>
    <w:rPr>
      <w:rFonts w:ascii="MS Sans Serif" w:hAnsi="MS Sans Serif"/>
    </w:rPr>
  </w:style>
  <w:style w:type="paragraph" w:styleId="Style33">
    <w:name w:val="Верхний и нижний колонтитулы"/>
    <w:basedOn w:val="Normal"/>
    <w:link w:val="Style_60_ch"/>
    <w:qFormat/>
    <w:pPr/>
    <w:rPr/>
  </w:style>
  <w:style w:type="paragraph" w:styleId="Style34">
    <w:name w:val="Header"/>
    <w:basedOn w:val="Normal"/>
    <w:link w:val="Style_37_ch"/>
    <w:pPr>
      <w:tabs>
        <w:tab w:val="clear" w:pos="708"/>
        <w:tab w:val="center" w:pos="4677" w:leader="none"/>
        <w:tab w:val="right" w:pos="9355" w:leader="none"/>
      </w:tabs>
    </w:pPr>
    <w:rPr/>
  </w:style>
  <w:style w:type="paragraph" w:styleId="Internetlink">
    <w:name w:val="Hyperlink"/>
    <w:link w:val="Style_38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FF"/>
      <w:spacing w:val="0"/>
      <w:kern w:val="0"/>
      <w:sz w:val="24"/>
      <w:szCs w:val="20"/>
      <w:u w:val="single"/>
      <w:lang w:val="ru-RU" w:eastAsia="zh-CN" w:bidi="hi-IN"/>
    </w:rPr>
  </w:style>
  <w:style w:type="paragraph" w:styleId="Footnote1">
    <w:name w:val="Footnote"/>
    <w:link w:val="Style_39_ch"/>
    <w:qFormat/>
    <w:pPr>
      <w:widowControl/>
      <w:suppressAutoHyphens w:val="true"/>
      <w:bidi w:val="0"/>
      <w:spacing w:lineRule="auto" w:line="240" w:before="0" w:after="0"/>
      <w:ind w:left="0" w:right="0" w:hanging="0"/>
      <w:jc w:val="left"/>
    </w:pPr>
    <w:rPr>
      <w:rFonts w:ascii="XO Thames" w:hAnsi="XO Thames" w:eastAsia="Tahoma" w:cs="Noto Sans Devanagari"/>
      <w:color w:val="000000"/>
      <w:spacing w:val="0"/>
      <w:kern w:val="0"/>
      <w:sz w:val="22"/>
      <w:szCs w:val="20"/>
      <w:lang w:val="ru-RU" w:eastAsia="zh-CN" w:bidi="hi-IN"/>
    </w:rPr>
  </w:style>
  <w:style w:type="paragraph" w:styleId="13">
    <w:name w:val="TOC 1"/>
    <w:next w:val="Normal"/>
    <w:link w:val="Style_40_ch"/>
    <w:uiPriority w:val="39"/>
    <w:pPr>
      <w:widowControl/>
      <w:suppressAutoHyphens w:val="true"/>
      <w:bidi w:val="0"/>
      <w:spacing w:lineRule="auto" w:line="240" w:before="0" w:after="0"/>
      <w:ind w:left="0" w:right="0" w:hanging="0"/>
      <w:jc w:val="left"/>
    </w:pPr>
    <w:rPr>
      <w:rFonts w:ascii="XO Thames" w:hAnsi="XO Thames" w:eastAsia="Tahoma" w:cs="Noto Sans Devanagari"/>
      <w:b/>
      <w:color w:val="000000"/>
      <w:spacing w:val="0"/>
      <w:kern w:val="0"/>
      <w:sz w:val="24"/>
      <w:szCs w:val="20"/>
      <w:lang w:val="ru-RU" w:eastAsia="zh-CN" w:bidi="hi-IN"/>
    </w:rPr>
  </w:style>
  <w:style w:type="paragraph" w:styleId="Style35">
    <w:name w:val="Без интервала Знак"/>
    <w:link w:val="Style_41_ch"/>
    <w:qFormat/>
    <w:pPr>
      <w:widowControl/>
      <w:suppressAutoHyphens w:val="true"/>
      <w:bidi w:val="0"/>
      <w:spacing w:lineRule="auto" w:line="240" w:before="0" w:after="0"/>
      <w:ind w:left="0" w:right="0" w:hanging="0"/>
      <w:jc w:val="left"/>
    </w:pPr>
    <w:rPr>
      <w:rFonts w:ascii="Baskerville_A.Z_PS" w:hAnsi="Baskerville_A.Z_PS" w:eastAsia="Tahoma" w:cs="Noto Sans Devanagari"/>
      <w:color w:val="000000"/>
      <w:spacing w:val="0"/>
      <w:kern w:val="0"/>
      <w:sz w:val="32"/>
      <w:szCs w:val="20"/>
      <w:lang w:val="ru-RU" w:eastAsia="zh-CN" w:bidi="hi-IN"/>
    </w:rPr>
  </w:style>
  <w:style w:type="paragraph" w:styleId="14">
    <w:name w:val="Текст выноски Знак1"/>
    <w:basedOn w:val="DefaultParagraphFont1"/>
    <w:link w:val="Style_44_ch"/>
    <w:qFormat/>
    <w:pPr/>
    <w:rPr>
      <w:sz w:val="0"/>
    </w:rPr>
  </w:style>
  <w:style w:type="paragraph" w:styleId="Pagenumber1">
    <w:name w:val="page number"/>
    <w:basedOn w:val="DefaultParagraphFont1"/>
    <w:link w:val="Style_45_ch"/>
    <w:qFormat/>
    <w:pPr/>
    <w:rPr/>
  </w:style>
  <w:style w:type="paragraph" w:styleId="Style36">
    <w:name w:val="Нижний колонтитул Знак"/>
    <w:basedOn w:val="DefaultParagraphFont1"/>
    <w:link w:val="Style_46_ch"/>
    <w:qFormat/>
    <w:pPr/>
    <w:rPr>
      <w:sz w:val="24"/>
    </w:rPr>
  </w:style>
  <w:style w:type="paragraph" w:styleId="Style37">
    <w:name w:val="Текст выноски Знак"/>
    <w:basedOn w:val="DefaultParagraphFont1"/>
    <w:link w:val="Style_47_ch"/>
    <w:qFormat/>
    <w:pPr/>
    <w:rPr>
      <w:rFonts w:ascii="Tahoma" w:hAnsi="Tahoma"/>
      <w:sz w:val="16"/>
    </w:rPr>
  </w:style>
  <w:style w:type="paragraph" w:styleId="9">
    <w:name w:val="TOC 9"/>
    <w:next w:val="Normal"/>
    <w:link w:val="Style_48_ch"/>
    <w:uiPriority w:val="39"/>
    <w:pPr>
      <w:widowControl/>
      <w:suppressAutoHyphens w:val="true"/>
      <w:bidi w:val="0"/>
      <w:spacing w:lineRule="auto" w:line="240" w:before="0" w:after="0"/>
      <w:ind w:left="160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NoSpacing1">
    <w:name w:val="No Spacing"/>
    <w:link w:val="Style_49_ch"/>
    <w:qFormat/>
    <w:pPr>
      <w:widowControl/>
      <w:suppressAutoHyphens w:val="true"/>
      <w:bidi w:val="0"/>
      <w:spacing w:lineRule="auto" w:line="240" w:before="0" w:after="0"/>
      <w:ind w:left="0" w:right="0" w:hanging="0"/>
      <w:jc w:val="left"/>
    </w:pPr>
    <w:rPr>
      <w:rFonts w:ascii="Baskerville_A.Z_PS" w:hAnsi="Baskerville_A.Z_PS" w:eastAsia="Tahoma" w:cs="Noto Sans Devanagari"/>
      <w:color w:val="000000"/>
      <w:spacing w:val="0"/>
      <w:kern w:val="0"/>
      <w:sz w:val="32"/>
      <w:szCs w:val="20"/>
      <w:lang w:val="ru-RU" w:eastAsia="zh-CN" w:bidi="hi-IN"/>
    </w:rPr>
  </w:style>
  <w:style w:type="paragraph" w:styleId="27">
    <w:name w:val="Основной текст2"/>
    <w:basedOn w:val="Normal"/>
    <w:link w:val="Style_50_ch"/>
    <w:qFormat/>
    <w:pPr>
      <w:widowControl w:val="false"/>
      <w:spacing w:lineRule="exact" w:line="250"/>
      <w:jc w:val="both"/>
    </w:pPr>
    <w:rPr>
      <w:spacing w:val="10"/>
      <w:sz w:val="18"/>
    </w:rPr>
  </w:style>
  <w:style w:type="paragraph" w:styleId="8">
    <w:name w:val="TOC 8"/>
    <w:next w:val="Normal"/>
    <w:link w:val="Style_51_ch"/>
    <w:uiPriority w:val="39"/>
    <w:pPr>
      <w:widowControl/>
      <w:suppressAutoHyphens w:val="true"/>
      <w:bidi w:val="0"/>
      <w:spacing w:lineRule="auto" w:line="240" w:before="0" w:after="0"/>
      <w:ind w:left="140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BalloonText1">
    <w:name w:val="Balloon Text"/>
    <w:basedOn w:val="Normal"/>
    <w:link w:val="Style_52_ch"/>
    <w:qFormat/>
    <w:pPr/>
    <w:rPr>
      <w:rFonts w:ascii="Tahoma" w:hAnsi="Tahoma"/>
      <w:sz w:val="16"/>
    </w:rPr>
  </w:style>
  <w:style w:type="paragraph" w:styleId="Nobr1">
    <w:name w:val="nobr"/>
    <w:basedOn w:val="DefaultParagraphFont1"/>
    <w:link w:val="Style_53_ch"/>
    <w:qFormat/>
    <w:pPr/>
    <w:rPr/>
  </w:style>
  <w:style w:type="paragraph" w:styleId="Indexheading1">
    <w:name w:val="index heading"/>
    <w:basedOn w:val="Normal"/>
    <w:link w:val="Style_54_ch"/>
    <w:qFormat/>
    <w:pPr/>
    <w:rPr/>
  </w:style>
  <w:style w:type="paragraph" w:styleId="15">
    <w:name w:val="Заголовок1"/>
    <w:basedOn w:val="Normal"/>
    <w:next w:val="Style23"/>
    <w:link w:val="Style_55_ch"/>
    <w:qFormat/>
    <w:pPr>
      <w:keepNext w:val="true"/>
      <w:spacing w:before="240" w:after="120"/>
    </w:pPr>
    <w:rPr>
      <w:rFonts w:ascii="Liberation Sans" w:hAnsi="Liberation Sans"/>
      <w:sz w:val="28"/>
    </w:rPr>
  </w:style>
  <w:style w:type="paragraph" w:styleId="51">
    <w:name w:val="TOC 5"/>
    <w:next w:val="Normal"/>
    <w:link w:val="Style_56_ch"/>
    <w:uiPriority w:val="39"/>
    <w:pPr>
      <w:widowControl/>
      <w:suppressAutoHyphens w:val="true"/>
      <w:bidi w:val="0"/>
      <w:spacing w:lineRule="auto" w:line="240" w:before="0" w:after="0"/>
      <w:ind w:left="80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ListParagraph1">
    <w:name w:val="List Paragraph"/>
    <w:basedOn w:val="Normal"/>
    <w:link w:val="Style_2_ch"/>
    <w:qFormat/>
    <w:pPr>
      <w:spacing w:before="0" w:after="0"/>
      <w:ind w:left="720" w:right="0" w:hanging="0"/>
      <w:contextualSpacing/>
    </w:pPr>
    <w:rPr/>
  </w:style>
  <w:style w:type="paragraph" w:styleId="Style38">
    <w:name w:val="Footer"/>
    <w:basedOn w:val="Normal"/>
    <w:link w:val="Style_58_ch"/>
    <w:pPr>
      <w:tabs>
        <w:tab w:val="clear" w:pos="708"/>
        <w:tab w:val="center" w:pos="4677" w:leader="none"/>
        <w:tab w:val="right" w:pos="9355" w:leader="none"/>
      </w:tabs>
    </w:pPr>
    <w:rPr/>
  </w:style>
  <w:style w:type="paragraph" w:styleId="Style39">
    <w:name w:val="Основной текст Знак"/>
    <w:basedOn w:val="DefaultParagraphFont1"/>
    <w:link w:val="Style_59_ch"/>
    <w:qFormat/>
    <w:pPr/>
    <w:rPr>
      <w:sz w:val="24"/>
    </w:rPr>
  </w:style>
  <w:style w:type="paragraph" w:styleId="Style40">
    <w:name w:val="Subtitle"/>
    <w:next w:val="Normal"/>
    <w:link w:val="Style_61_ch"/>
    <w:uiPriority w:val="11"/>
    <w:qFormat/>
    <w:pPr>
      <w:widowControl/>
      <w:suppressAutoHyphens w:val="true"/>
      <w:bidi w:val="0"/>
      <w:spacing w:lineRule="auto" w:line="240" w:before="0" w:after="0"/>
      <w:ind w:left="0" w:right="0" w:hanging="0"/>
      <w:jc w:val="left"/>
    </w:pPr>
    <w:rPr>
      <w:rFonts w:ascii="XO Thames" w:hAnsi="XO Thames" w:eastAsia="Tahoma" w:cs="Noto Sans Devanagari"/>
      <w:i/>
      <w:color w:val="616161"/>
      <w:spacing w:val="0"/>
      <w:kern w:val="0"/>
      <w:sz w:val="24"/>
      <w:szCs w:val="20"/>
      <w:lang w:val="ru-RU" w:eastAsia="zh-CN" w:bidi="hi-IN"/>
    </w:rPr>
  </w:style>
  <w:style w:type="paragraph" w:styleId="Toc101">
    <w:name w:val="toc 10"/>
    <w:next w:val="Normal"/>
    <w:link w:val="Style_62_ch"/>
    <w:uiPriority w:val="39"/>
    <w:qFormat/>
    <w:pPr>
      <w:widowControl/>
      <w:suppressAutoHyphens w:val="true"/>
      <w:bidi w:val="0"/>
      <w:spacing w:lineRule="auto" w:line="240" w:before="0" w:after="0"/>
      <w:ind w:left="1800" w:right="0" w:hanging="0"/>
      <w:jc w:val="left"/>
    </w:pPr>
    <w:rPr>
      <w:rFonts w:ascii="Times New Roman" w:hAnsi="Times New Roman" w:eastAsia="Tahoma" w:cs="Noto Sans Devanagari"/>
      <w:color w:val="000000"/>
      <w:spacing w:val="0"/>
      <w:kern w:val="0"/>
      <w:sz w:val="24"/>
      <w:szCs w:val="20"/>
      <w:lang w:val="ru-RU" w:eastAsia="zh-CN" w:bidi="hi-IN"/>
    </w:rPr>
  </w:style>
  <w:style w:type="paragraph" w:styleId="Style41">
    <w:name w:val="Title"/>
    <w:basedOn w:val="Normal"/>
    <w:link w:val="Style_63_ch"/>
    <w:uiPriority w:val="10"/>
    <w:qFormat/>
    <w:pPr>
      <w:jc w:val="center"/>
    </w:pPr>
    <w:rPr>
      <w:b/>
    </w:rPr>
  </w:style>
  <w:style w:type="paragraph" w:styleId="Style42">
    <w:name w:val="Верхний колонтитул Знак"/>
    <w:basedOn w:val="DefaultParagraphFont1"/>
    <w:link w:val="Style_65_ch"/>
    <w:qFormat/>
    <w:pPr/>
    <w:rPr>
      <w:sz w:val="24"/>
    </w:rPr>
  </w:style>
  <w:style w:type="paragraph" w:styleId="BodyText31">
    <w:name w:val="Body Text 3"/>
    <w:basedOn w:val="Normal"/>
    <w:link w:val="Style_66_ch"/>
    <w:qFormat/>
    <w:pPr>
      <w:spacing w:before="0" w:after="120"/>
    </w:pPr>
    <w:rPr>
      <w:sz w:val="16"/>
    </w:rPr>
  </w:style>
  <w:style w:type="table" w:default="1" w:styleId="Style_6">
    <w:name w:val="Normal Table"/>
    <w:tblPr>
      <w:tblCellMar>
        <w:top w:w="0" w:type="dxa"/>
        <w:left w:w="108" w:type="dxa"/>
        <w:bottom w:w="0" w:type="dxa"/>
        <w:right w:w="108" w:type="dxa"/>
      </w:tblCellMar>
    </w:tblPr>
  </w:style>
  <w:style w:type="table" w:styleId="Style_68">
    <w:name w:val="Table Grid"/>
    <w:basedOn w:val="Style_6"/>
    <w:tblPr>
      <w:tblBorders>
        <w:top w:val="single" w:color="000000" w:sz="4"/>
        <w:left w:val="single" w:color="000000" w:sz="4"/>
        <w:bottom w:val="single" w:color="000000" w:sz="4"/>
        <w:right w:val="single" w:color="000000" w:sz="4"/>
        <w:insideH w:val="single" w:color="000000" w:sz="4"/>
        <w:insideV w:val="single" w:color="000000" w:sz="4"/>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33</TotalTime>
  <Application>LibreOffice/6.4.7.2$Linux_X86_64 LibreOffice_project/40$Build-2</Application>
  <Pages>7</Pages>
  <Words>2181</Words>
  <Characters>16173</Characters>
  <CharactersWithSpaces>19221</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2025-07-10T17:13:34Z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ScaleCrop">
    <vt:bool>0</vt:bool>
  </property>
</Properties>
</file>